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1DC" w:rsidRPr="007D7DE4" w:rsidRDefault="005851DC" w:rsidP="005851DC">
      <w:pPr>
        <w:pStyle w:val="paragraph"/>
        <w:spacing w:before="0" w:beforeAutospacing="0" w:after="0" w:afterAutospacing="0"/>
        <w:jc w:val="center"/>
        <w:textAlignment w:val="baseline"/>
        <w:rPr>
          <w:rFonts w:ascii="Calibri" w:hAnsi="Calibri" w:cs="Calibri"/>
          <w:sz w:val="22"/>
          <w:szCs w:val="22"/>
        </w:rPr>
      </w:pPr>
      <w:r w:rsidRPr="007D7DE4">
        <w:rPr>
          <w:rStyle w:val="normaltextrun"/>
          <w:rFonts w:ascii="Calibri" w:hAnsi="Calibri" w:cs="Calibri"/>
          <w:b/>
          <w:bCs/>
          <w:sz w:val="22"/>
          <w:szCs w:val="22"/>
        </w:rPr>
        <w:t>Undergraduate Teaching Continuity and Recovery</w:t>
      </w:r>
      <w:r w:rsidRPr="007D7DE4">
        <w:rPr>
          <w:rStyle w:val="eop"/>
          <w:rFonts w:ascii="Calibri" w:hAnsi="Calibri" w:cs="Calibri"/>
          <w:sz w:val="22"/>
          <w:szCs w:val="22"/>
        </w:rPr>
        <w:t> </w:t>
      </w:r>
    </w:p>
    <w:p w:rsidR="005851DC" w:rsidRPr="007D7DE4" w:rsidRDefault="005851DC" w:rsidP="005851DC">
      <w:pPr>
        <w:pStyle w:val="paragraph"/>
        <w:spacing w:before="0" w:beforeAutospacing="0" w:after="0" w:afterAutospacing="0"/>
        <w:jc w:val="center"/>
        <w:textAlignment w:val="baseline"/>
        <w:rPr>
          <w:rStyle w:val="normaltextrun"/>
          <w:rFonts w:ascii="Calibri" w:hAnsi="Calibri" w:cs="Calibri"/>
          <w:sz w:val="22"/>
          <w:szCs w:val="22"/>
        </w:rPr>
      </w:pPr>
      <w:r w:rsidRPr="007D7DE4">
        <w:rPr>
          <w:rStyle w:val="normaltextrun"/>
          <w:rFonts w:ascii="Calibri" w:hAnsi="Calibri" w:cs="Calibri"/>
          <w:sz w:val="22"/>
          <w:szCs w:val="22"/>
        </w:rPr>
        <w:t xml:space="preserve">Meeting on August </w:t>
      </w:r>
      <w:r>
        <w:rPr>
          <w:rStyle w:val="normaltextrun"/>
          <w:rFonts w:ascii="Calibri" w:hAnsi="Calibri" w:cs="Calibri"/>
          <w:sz w:val="22"/>
          <w:szCs w:val="22"/>
        </w:rPr>
        <w:t>23</w:t>
      </w:r>
      <w:r w:rsidRPr="007D7DE4">
        <w:rPr>
          <w:rStyle w:val="normaltextrun"/>
          <w:rFonts w:ascii="Calibri" w:hAnsi="Calibri" w:cs="Calibri"/>
          <w:sz w:val="22"/>
          <w:szCs w:val="22"/>
        </w:rPr>
        <w:t xml:space="preserve"> @ 10:00AM</w:t>
      </w:r>
    </w:p>
    <w:p w:rsidR="005851DC" w:rsidRPr="007D7DE4" w:rsidRDefault="005851DC" w:rsidP="005851DC">
      <w:pPr>
        <w:pStyle w:val="paragraph"/>
        <w:spacing w:before="0" w:beforeAutospacing="0" w:after="0" w:afterAutospacing="0"/>
        <w:jc w:val="center"/>
        <w:textAlignment w:val="baseline"/>
        <w:rPr>
          <w:rStyle w:val="normaltextrun"/>
          <w:rFonts w:ascii="Calibri" w:hAnsi="Calibri" w:cs="Calibri"/>
          <w:sz w:val="22"/>
          <w:szCs w:val="22"/>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u w:val="single"/>
        </w:rPr>
        <w:t>Agenda Items for 8/23</w:t>
      </w:r>
      <w:r w:rsidRPr="005851DC">
        <w:rPr>
          <w:rFonts w:ascii="Calibri" w:eastAsia="Times New Roman" w:hAnsi="Calibri" w:cs="Calibri"/>
        </w:rPr>
        <w:t>:</w:t>
      </w:r>
    </w:p>
    <w:p w:rsidR="005851DC" w:rsidRPr="005851DC" w:rsidRDefault="005851DC" w:rsidP="00BD6A1B">
      <w:pPr>
        <w:numPr>
          <w:ilvl w:val="0"/>
          <w:numId w:val="1"/>
        </w:numPr>
        <w:spacing w:before="120"/>
        <w:rPr>
          <w:rFonts w:ascii="Calibri" w:eastAsia="Times New Roman" w:hAnsi="Calibri" w:cs="Calibri"/>
        </w:rPr>
      </w:pPr>
      <w:r w:rsidRPr="005851DC">
        <w:rPr>
          <w:rFonts w:ascii="Calibri" w:eastAsia="Times New Roman" w:hAnsi="Calibri" w:cs="Calibri"/>
        </w:rPr>
        <w:t>Update from RO</w:t>
      </w:r>
    </w:p>
    <w:p w:rsidR="005851DC" w:rsidRPr="005851DC" w:rsidRDefault="005851DC" w:rsidP="005851DC">
      <w:pPr>
        <w:numPr>
          <w:ilvl w:val="0"/>
          <w:numId w:val="1"/>
        </w:numPr>
        <w:rPr>
          <w:rFonts w:ascii="Calibri" w:eastAsia="Times New Roman" w:hAnsi="Calibri" w:cs="Calibri"/>
        </w:rPr>
      </w:pPr>
      <w:r w:rsidRPr="005851DC">
        <w:rPr>
          <w:rFonts w:ascii="Calibri" w:eastAsia="Times New Roman" w:hAnsi="Calibri" w:cs="Calibri"/>
        </w:rPr>
        <w:t>Update from Facilities</w:t>
      </w:r>
    </w:p>
    <w:p w:rsidR="005851DC" w:rsidRPr="005851DC" w:rsidRDefault="005851DC" w:rsidP="005851DC">
      <w:pPr>
        <w:numPr>
          <w:ilvl w:val="0"/>
          <w:numId w:val="1"/>
        </w:numPr>
        <w:rPr>
          <w:rFonts w:ascii="Calibri" w:eastAsia="Times New Roman" w:hAnsi="Calibri" w:cs="Calibri"/>
        </w:rPr>
      </w:pPr>
      <w:r w:rsidRPr="005851DC">
        <w:rPr>
          <w:rFonts w:ascii="Calibri" w:eastAsia="Times New Roman" w:hAnsi="Calibri" w:cs="Calibri"/>
        </w:rPr>
        <w:t>Discussion on Communication Messages</w:t>
      </w:r>
    </w:p>
    <w:p w:rsidR="00BD6A1B" w:rsidRDefault="00BD6A1B" w:rsidP="005851DC">
      <w:pPr>
        <w:rPr>
          <w:rFonts w:ascii="Calibri" w:eastAsia="Times New Roman" w:hAnsi="Calibri" w:cs="Calibri"/>
          <w:b/>
          <w:bCs/>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rPr>
        <w:t>Update from RO</w:t>
      </w:r>
      <w:r w:rsidRPr="005851DC">
        <w:rPr>
          <w:rFonts w:ascii="Calibri" w:eastAsia="Times New Roman" w:hAnsi="Calibri" w:cs="Calibri"/>
        </w:rPr>
        <w:t xml:space="preserve"> - Julia Murphy noted minimal change to sections. There are more F2F seats. There have been a few requests to move online, though these requests have department chair approval.</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D Tobiassen Baitinger provided an update on undergraduate student registration: increase of 550 new students, increase of 246 new transfer students, increase of 83 returning students, and decrease of 616 continuing students. She noted that a decrease 500 to 600 decrease in new students in Fall 2020 would correlate with the decrease in continuing students in Fall 2021.</w:t>
      </w:r>
    </w:p>
    <w:p w:rsidR="005851DC" w:rsidRPr="005851DC" w:rsidRDefault="005851DC" w:rsidP="005851DC">
      <w:pPr>
        <w:rPr>
          <w:rFonts w:ascii="Calibri" w:eastAsia="Times New Roman" w:hAnsi="Calibri" w:cs="Calibri"/>
        </w:rPr>
      </w:pPr>
    </w:p>
    <w:p w:rsidR="005851DC" w:rsidRPr="005851DC" w:rsidRDefault="005851DC" w:rsidP="00BD6A1B">
      <w:pPr>
        <w:spacing w:after="120"/>
        <w:rPr>
          <w:rFonts w:ascii="Calibri" w:eastAsia="Times New Roman" w:hAnsi="Calibri" w:cs="Calibri"/>
        </w:rPr>
      </w:pPr>
      <w:r w:rsidRPr="005851DC">
        <w:rPr>
          <w:rFonts w:ascii="Calibri" w:eastAsia="Times New Roman" w:hAnsi="Calibri" w:cs="Calibri"/>
        </w:rPr>
        <w:t>Non-degree students are primarily Semester at Sea students, which have been zeroed as SAS did not sail in Fall 2020 or Fall 2021.</w:t>
      </w:r>
    </w:p>
    <w:tbl>
      <w:tblPr>
        <w:tblW w:w="9170" w:type="dxa"/>
        <w:tblLook w:val="04A0" w:firstRow="1" w:lastRow="0" w:firstColumn="1" w:lastColumn="0" w:noHBand="0" w:noVBand="1"/>
      </w:tblPr>
      <w:tblGrid>
        <w:gridCol w:w="2560"/>
        <w:gridCol w:w="1660"/>
        <w:gridCol w:w="1440"/>
        <w:gridCol w:w="1170"/>
        <w:gridCol w:w="1170"/>
        <w:gridCol w:w="1170"/>
      </w:tblGrid>
      <w:tr w:rsidR="00813416" w:rsidRPr="005851DC" w:rsidTr="00813416">
        <w:trPr>
          <w:trHeight w:val="315"/>
        </w:trPr>
        <w:tc>
          <w:tcPr>
            <w:tcW w:w="2560" w:type="dxa"/>
            <w:tcBorders>
              <w:top w:val="single" w:sz="8" w:space="0" w:color="auto"/>
              <w:left w:val="single" w:sz="8" w:space="0" w:color="auto"/>
              <w:bottom w:val="single" w:sz="8" w:space="0" w:color="auto"/>
              <w:right w:val="single" w:sz="4" w:space="0" w:color="auto"/>
            </w:tcBorders>
            <w:shd w:val="clear" w:color="000000" w:fill="70AD47"/>
            <w:noWrap/>
            <w:vAlign w:val="center"/>
            <w:hideMark/>
          </w:tcPr>
          <w:p w:rsidR="00813416" w:rsidRPr="00813416" w:rsidRDefault="00813416" w:rsidP="005851DC">
            <w:pPr>
              <w:rPr>
                <w:rFonts w:ascii="Calibri" w:eastAsia="Times New Roman" w:hAnsi="Calibri" w:cs="Calibri"/>
                <w:b/>
                <w:bCs/>
                <w:color w:val="FFFFFF"/>
              </w:rPr>
            </w:pPr>
            <w:r w:rsidRPr="00813416">
              <w:rPr>
                <w:rFonts w:ascii="Calibri" w:eastAsia="Times New Roman" w:hAnsi="Calibri" w:cs="Calibri"/>
                <w:b/>
                <w:bCs/>
                <w:color w:val="FFFFFF"/>
              </w:rPr>
              <w:t>Student Level</w:t>
            </w:r>
          </w:p>
        </w:tc>
        <w:tc>
          <w:tcPr>
            <w:tcW w:w="1660" w:type="dxa"/>
            <w:tcBorders>
              <w:top w:val="single" w:sz="8" w:space="0" w:color="auto"/>
              <w:left w:val="nil"/>
              <w:bottom w:val="single" w:sz="8" w:space="0" w:color="auto"/>
              <w:right w:val="single" w:sz="4" w:space="0" w:color="auto"/>
            </w:tcBorders>
            <w:shd w:val="clear" w:color="000000" w:fill="70AD47"/>
            <w:noWrap/>
            <w:vAlign w:val="center"/>
            <w:hideMark/>
          </w:tcPr>
          <w:p w:rsidR="00813416" w:rsidRPr="00813416" w:rsidRDefault="00813416" w:rsidP="005851DC">
            <w:pPr>
              <w:rPr>
                <w:rFonts w:ascii="Calibri" w:eastAsia="Times New Roman" w:hAnsi="Calibri" w:cs="Calibri"/>
                <w:b/>
                <w:bCs/>
                <w:color w:val="FFFFFF"/>
              </w:rPr>
            </w:pPr>
            <w:r w:rsidRPr="00813416">
              <w:rPr>
                <w:rFonts w:ascii="Calibri" w:eastAsia="Times New Roman" w:hAnsi="Calibri" w:cs="Calibri"/>
                <w:b/>
                <w:bCs/>
                <w:color w:val="FFFFFF"/>
              </w:rPr>
              <w:t>Applicant Type</w:t>
            </w:r>
          </w:p>
        </w:tc>
        <w:tc>
          <w:tcPr>
            <w:tcW w:w="1440" w:type="dxa"/>
            <w:tcBorders>
              <w:top w:val="single" w:sz="8" w:space="0" w:color="auto"/>
              <w:left w:val="nil"/>
              <w:bottom w:val="single" w:sz="8" w:space="0" w:color="auto"/>
              <w:right w:val="nil"/>
            </w:tcBorders>
            <w:shd w:val="clear" w:color="000000" w:fill="70AD47"/>
            <w:noWrap/>
            <w:vAlign w:val="center"/>
            <w:hideMark/>
          </w:tcPr>
          <w:p w:rsidR="00813416" w:rsidRPr="00813416" w:rsidRDefault="00813416" w:rsidP="005851DC">
            <w:pPr>
              <w:rPr>
                <w:rFonts w:ascii="Calibri" w:eastAsia="Times New Roman" w:hAnsi="Calibri" w:cs="Calibri"/>
                <w:b/>
                <w:bCs/>
                <w:color w:val="FFFFFF"/>
              </w:rPr>
            </w:pPr>
            <w:r w:rsidRPr="00813416">
              <w:rPr>
                <w:rFonts w:ascii="Calibri" w:eastAsia="Times New Roman" w:hAnsi="Calibri" w:cs="Calibri"/>
                <w:b/>
                <w:bCs/>
                <w:color w:val="FFFFFF"/>
              </w:rPr>
              <w:t>Residency</w:t>
            </w:r>
          </w:p>
        </w:tc>
        <w:tc>
          <w:tcPr>
            <w:tcW w:w="1170"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rsidR="00813416" w:rsidRPr="00813416" w:rsidRDefault="00813416" w:rsidP="005851DC">
            <w:pPr>
              <w:rPr>
                <w:rFonts w:ascii="Calibri" w:eastAsia="Times New Roman" w:hAnsi="Calibri" w:cs="Calibri"/>
                <w:b/>
                <w:bCs/>
                <w:color w:val="FFFFFF"/>
              </w:rPr>
            </w:pPr>
            <w:r w:rsidRPr="00813416">
              <w:rPr>
                <w:rFonts w:ascii="Calibri" w:eastAsia="Times New Roman" w:hAnsi="Calibri" w:cs="Calibri"/>
                <w:b/>
                <w:bCs/>
                <w:color w:val="FFFFFF"/>
              </w:rPr>
              <w:t>26-Aug-19</w:t>
            </w:r>
          </w:p>
        </w:tc>
        <w:tc>
          <w:tcPr>
            <w:tcW w:w="1170" w:type="dxa"/>
            <w:tcBorders>
              <w:top w:val="single" w:sz="8" w:space="0" w:color="auto"/>
              <w:left w:val="nil"/>
              <w:bottom w:val="single" w:sz="8" w:space="0" w:color="auto"/>
              <w:right w:val="single" w:sz="8" w:space="0" w:color="auto"/>
            </w:tcBorders>
            <w:shd w:val="clear" w:color="000000" w:fill="70AD47"/>
            <w:noWrap/>
            <w:vAlign w:val="center"/>
            <w:hideMark/>
          </w:tcPr>
          <w:p w:rsidR="00813416" w:rsidRPr="00813416" w:rsidRDefault="00813416" w:rsidP="005851DC">
            <w:pPr>
              <w:rPr>
                <w:rFonts w:ascii="Calibri" w:eastAsia="Times New Roman" w:hAnsi="Calibri" w:cs="Calibri"/>
                <w:b/>
                <w:bCs/>
                <w:color w:val="FFFFFF"/>
              </w:rPr>
            </w:pPr>
            <w:r w:rsidRPr="00813416">
              <w:rPr>
                <w:rFonts w:ascii="Calibri" w:eastAsia="Times New Roman" w:hAnsi="Calibri" w:cs="Calibri"/>
                <w:b/>
                <w:bCs/>
                <w:color w:val="FFFFFF"/>
              </w:rPr>
              <w:t>24-Aug-20</w:t>
            </w:r>
          </w:p>
        </w:tc>
        <w:tc>
          <w:tcPr>
            <w:tcW w:w="1170" w:type="dxa"/>
            <w:tcBorders>
              <w:top w:val="single" w:sz="8" w:space="0" w:color="auto"/>
              <w:left w:val="nil"/>
              <w:bottom w:val="single" w:sz="8" w:space="0" w:color="auto"/>
              <w:right w:val="single" w:sz="8" w:space="0" w:color="auto"/>
            </w:tcBorders>
            <w:shd w:val="clear" w:color="000000" w:fill="70AD47"/>
            <w:noWrap/>
            <w:vAlign w:val="center"/>
            <w:hideMark/>
          </w:tcPr>
          <w:p w:rsidR="00813416" w:rsidRPr="00813416" w:rsidRDefault="00813416" w:rsidP="005851DC">
            <w:pPr>
              <w:rPr>
                <w:rFonts w:ascii="Calibri" w:eastAsia="Times New Roman" w:hAnsi="Calibri" w:cs="Calibri"/>
                <w:b/>
                <w:bCs/>
                <w:color w:val="FFFFFF"/>
              </w:rPr>
            </w:pPr>
            <w:r w:rsidRPr="00813416">
              <w:rPr>
                <w:rFonts w:ascii="Calibri" w:eastAsia="Times New Roman" w:hAnsi="Calibri" w:cs="Calibri"/>
                <w:b/>
                <w:bCs/>
                <w:color w:val="FFFFFF"/>
              </w:rPr>
              <w:t>23-Aug-21</w:t>
            </w:r>
          </w:p>
        </w:tc>
      </w:tr>
      <w:tr w:rsidR="00813416" w:rsidRPr="005851DC" w:rsidTr="00813416">
        <w:trPr>
          <w:trHeight w:val="300"/>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New</w:t>
            </w:r>
          </w:p>
        </w:tc>
        <w:tc>
          <w:tcPr>
            <w:tcW w:w="1440" w:type="dxa"/>
            <w:tcBorders>
              <w:top w:val="nil"/>
              <w:left w:val="nil"/>
              <w:bottom w:val="single" w:sz="4"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Resident</w:t>
            </w:r>
          </w:p>
        </w:tc>
        <w:tc>
          <w:tcPr>
            <w:tcW w:w="1170" w:type="dxa"/>
            <w:tcBorders>
              <w:top w:val="nil"/>
              <w:left w:val="single" w:sz="8" w:space="0" w:color="auto"/>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5851DC">
              <w:rPr>
                <w:rFonts w:ascii="Calibri" w:eastAsia="Times New Roman" w:hAnsi="Calibri" w:cs="Calibri"/>
                <w:color w:val="000000"/>
              </w:rPr>
              <w:t>331</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jc w:val="right"/>
              <w:rPr>
                <w:rFonts w:ascii="Calibri" w:eastAsia="Times New Roman" w:hAnsi="Calibri" w:cs="Calibri"/>
                <w:color w:val="000000"/>
              </w:rPr>
            </w:pPr>
            <w:r w:rsidRPr="00813416">
              <w:rPr>
                <w:rFonts w:ascii="Calibri" w:eastAsia="Times New Roman" w:hAnsi="Calibri" w:cs="Calibri"/>
                <w:color w:val="000000"/>
              </w:rPr>
              <w:t>2,973</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2,948</w:t>
            </w:r>
          </w:p>
        </w:tc>
      </w:tr>
      <w:tr w:rsidR="00813416" w:rsidRPr="005851DC" w:rsidTr="00813416">
        <w:trPr>
          <w:trHeight w:val="315"/>
        </w:trPr>
        <w:tc>
          <w:tcPr>
            <w:tcW w:w="2560" w:type="dxa"/>
            <w:tcBorders>
              <w:top w:val="nil"/>
              <w:left w:val="single" w:sz="8" w:space="0" w:color="auto"/>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New</w:t>
            </w:r>
          </w:p>
        </w:tc>
        <w:tc>
          <w:tcPr>
            <w:tcW w:w="1440" w:type="dxa"/>
            <w:tcBorders>
              <w:top w:val="nil"/>
              <w:left w:val="nil"/>
              <w:bottom w:val="nil"/>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NonResident</w:t>
            </w:r>
          </w:p>
        </w:tc>
        <w:tc>
          <w:tcPr>
            <w:tcW w:w="1170" w:type="dxa"/>
            <w:tcBorders>
              <w:top w:val="nil"/>
              <w:left w:val="single" w:sz="8" w:space="0" w:color="auto"/>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1,837</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1,561</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2,136</w:t>
            </w:r>
          </w:p>
        </w:tc>
      </w:tr>
      <w:tr w:rsidR="00813416" w:rsidRPr="005851DC" w:rsidTr="00813416">
        <w:trPr>
          <w:trHeight w:val="315"/>
        </w:trPr>
        <w:tc>
          <w:tcPr>
            <w:tcW w:w="2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r w:rsidRPr="00813416">
              <w:rPr>
                <w:rFonts w:ascii="Calibri" w:eastAsia="Times New Roman" w:hAnsi="Calibri" w:cs="Calibri"/>
                <w:b/>
                <w:bCs/>
                <w:color w:val="000000"/>
              </w:rPr>
              <w:t>Subtotal</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440" w:type="dxa"/>
            <w:tcBorders>
              <w:top w:val="single" w:sz="8" w:space="0" w:color="auto"/>
              <w:left w:val="nil"/>
              <w:bottom w:val="single" w:sz="8"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2,168</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4,534</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5,084</w:t>
            </w:r>
          </w:p>
        </w:tc>
      </w:tr>
      <w:tr w:rsidR="00813416" w:rsidRPr="005851DC" w:rsidTr="00813416">
        <w:trPr>
          <w:trHeight w:val="300"/>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Transfer</w:t>
            </w:r>
          </w:p>
        </w:tc>
        <w:tc>
          <w:tcPr>
            <w:tcW w:w="1440" w:type="dxa"/>
            <w:tcBorders>
              <w:top w:val="nil"/>
              <w:left w:val="nil"/>
              <w:bottom w:val="single" w:sz="4"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Resident</w:t>
            </w:r>
          </w:p>
        </w:tc>
        <w:tc>
          <w:tcPr>
            <w:tcW w:w="1170" w:type="dxa"/>
            <w:tcBorders>
              <w:top w:val="nil"/>
              <w:left w:val="single" w:sz="8" w:space="0" w:color="auto"/>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1,127</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934</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952</w:t>
            </w:r>
          </w:p>
        </w:tc>
      </w:tr>
      <w:tr w:rsidR="00813416" w:rsidRPr="005851DC" w:rsidTr="00813416">
        <w:trPr>
          <w:trHeight w:val="315"/>
        </w:trPr>
        <w:tc>
          <w:tcPr>
            <w:tcW w:w="2560" w:type="dxa"/>
            <w:tcBorders>
              <w:top w:val="nil"/>
              <w:left w:val="single" w:sz="8" w:space="0" w:color="auto"/>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Transfer</w:t>
            </w:r>
          </w:p>
        </w:tc>
        <w:tc>
          <w:tcPr>
            <w:tcW w:w="1440" w:type="dxa"/>
            <w:tcBorders>
              <w:top w:val="nil"/>
              <w:left w:val="nil"/>
              <w:bottom w:val="nil"/>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NonResident</w:t>
            </w:r>
          </w:p>
        </w:tc>
        <w:tc>
          <w:tcPr>
            <w:tcW w:w="1170" w:type="dxa"/>
            <w:tcBorders>
              <w:top w:val="nil"/>
              <w:left w:val="single" w:sz="8" w:space="0" w:color="auto"/>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464</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339</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567</w:t>
            </w:r>
          </w:p>
        </w:tc>
      </w:tr>
      <w:tr w:rsidR="00813416" w:rsidRPr="005851DC" w:rsidTr="00813416">
        <w:trPr>
          <w:trHeight w:val="315"/>
        </w:trPr>
        <w:tc>
          <w:tcPr>
            <w:tcW w:w="2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r w:rsidRPr="00813416">
              <w:rPr>
                <w:rFonts w:ascii="Calibri" w:eastAsia="Times New Roman" w:hAnsi="Calibri" w:cs="Calibri"/>
                <w:b/>
                <w:bCs/>
                <w:color w:val="000000"/>
              </w:rPr>
              <w:t>Subtotal</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440" w:type="dxa"/>
            <w:tcBorders>
              <w:top w:val="single" w:sz="8" w:space="0" w:color="auto"/>
              <w:left w:val="nil"/>
              <w:bottom w:val="single" w:sz="8"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1,591</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1,273</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1,519</w:t>
            </w:r>
          </w:p>
        </w:tc>
      </w:tr>
      <w:tr w:rsidR="00813416" w:rsidRPr="005851DC" w:rsidTr="00813416">
        <w:trPr>
          <w:trHeight w:val="60"/>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Returning</w:t>
            </w:r>
          </w:p>
        </w:tc>
        <w:tc>
          <w:tcPr>
            <w:tcW w:w="1440" w:type="dxa"/>
            <w:tcBorders>
              <w:top w:val="nil"/>
              <w:left w:val="nil"/>
              <w:bottom w:val="single" w:sz="4"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Resident</w:t>
            </w:r>
          </w:p>
        </w:tc>
        <w:tc>
          <w:tcPr>
            <w:tcW w:w="1170" w:type="dxa"/>
            <w:tcBorders>
              <w:top w:val="nil"/>
              <w:left w:val="single" w:sz="8" w:space="0" w:color="auto"/>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255</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250</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290</w:t>
            </w:r>
          </w:p>
        </w:tc>
      </w:tr>
      <w:tr w:rsidR="00813416" w:rsidRPr="005851DC" w:rsidTr="00813416">
        <w:trPr>
          <w:trHeight w:val="315"/>
        </w:trPr>
        <w:tc>
          <w:tcPr>
            <w:tcW w:w="2560" w:type="dxa"/>
            <w:tcBorders>
              <w:top w:val="nil"/>
              <w:left w:val="single" w:sz="8" w:space="0" w:color="auto"/>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Returning</w:t>
            </w:r>
          </w:p>
        </w:tc>
        <w:tc>
          <w:tcPr>
            <w:tcW w:w="1440" w:type="dxa"/>
            <w:tcBorders>
              <w:top w:val="nil"/>
              <w:left w:val="nil"/>
              <w:bottom w:val="nil"/>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NonResident</w:t>
            </w:r>
          </w:p>
        </w:tc>
        <w:tc>
          <w:tcPr>
            <w:tcW w:w="1170" w:type="dxa"/>
            <w:tcBorders>
              <w:top w:val="nil"/>
              <w:left w:val="single" w:sz="8" w:space="0" w:color="auto"/>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54</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65</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108</w:t>
            </w:r>
          </w:p>
        </w:tc>
      </w:tr>
      <w:tr w:rsidR="00813416" w:rsidRPr="005851DC" w:rsidTr="00813416">
        <w:trPr>
          <w:trHeight w:val="315"/>
        </w:trPr>
        <w:tc>
          <w:tcPr>
            <w:tcW w:w="2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r w:rsidRPr="00813416">
              <w:rPr>
                <w:rFonts w:ascii="Calibri" w:eastAsia="Times New Roman" w:hAnsi="Calibri" w:cs="Calibri"/>
                <w:b/>
                <w:bCs/>
                <w:color w:val="000000"/>
              </w:rPr>
              <w:t>Subtotal</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440" w:type="dxa"/>
            <w:tcBorders>
              <w:top w:val="single" w:sz="8" w:space="0" w:color="auto"/>
              <w:left w:val="nil"/>
              <w:bottom w:val="single" w:sz="8"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309</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315</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398</w:t>
            </w:r>
          </w:p>
        </w:tc>
      </w:tr>
      <w:tr w:rsidR="00813416" w:rsidRPr="005851DC" w:rsidTr="00813416">
        <w:trPr>
          <w:trHeight w:val="300"/>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Continuing</w:t>
            </w:r>
          </w:p>
        </w:tc>
        <w:tc>
          <w:tcPr>
            <w:tcW w:w="1440" w:type="dxa"/>
            <w:tcBorders>
              <w:top w:val="nil"/>
              <w:left w:val="nil"/>
              <w:bottom w:val="single" w:sz="4"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Resident</w:t>
            </w:r>
          </w:p>
        </w:tc>
        <w:tc>
          <w:tcPr>
            <w:tcW w:w="1170" w:type="dxa"/>
            <w:tcBorders>
              <w:top w:val="nil"/>
              <w:left w:val="single" w:sz="8" w:space="0" w:color="auto"/>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12,421</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12,020</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11,410</w:t>
            </w:r>
          </w:p>
        </w:tc>
      </w:tr>
      <w:tr w:rsidR="00813416" w:rsidRPr="005851DC" w:rsidTr="00813416">
        <w:trPr>
          <w:trHeight w:val="315"/>
        </w:trPr>
        <w:tc>
          <w:tcPr>
            <w:tcW w:w="2560" w:type="dxa"/>
            <w:tcBorders>
              <w:top w:val="nil"/>
              <w:left w:val="single" w:sz="8" w:space="0" w:color="auto"/>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Continuing</w:t>
            </w:r>
          </w:p>
        </w:tc>
        <w:tc>
          <w:tcPr>
            <w:tcW w:w="1440" w:type="dxa"/>
            <w:tcBorders>
              <w:top w:val="nil"/>
              <w:left w:val="nil"/>
              <w:bottom w:val="nil"/>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NonResident</w:t>
            </w:r>
          </w:p>
        </w:tc>
        <w:tc>
          <w:tcPr>
            <w:tcW w:w="1170" w:type="dxa"/>
            <w:tcBorders>
              <w:top w:val="nil"/>
              <w:left w:val="single" w:sz="8" w:space="0" w:color="auto"/>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4,980</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4,971</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4,965</w:t>
            </w:r>
          </w:p>
        </w:tc>
      </w:tr>
      <w:tr w:rsidR="00813416" w:rsidRPr="005851DC" w:rsidTr="00813416">
        <w:trPr>
          <w:trHeight w:val="315"/>
        </w:trPr>
        <w:tc>
          <w:tcPr>
            <w:tcW w:w="2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r w:rsidRPr="00813416">
              <w:rPr>
                <w:rFonts w:ascii="Calibri" w:eastAsia="Times New Roman" w:hAnsi="Calibri" w:cs="Calibri"/>
                <w:b/>
                <w:bCs/>
                <w:color w:val="000000"/>
              </w:rPr>
              <w:t>Subtotal</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440" w:type="dxa"/>
            <w:tcBorders>
              <w:top w:val="single" w:sz="8" w:space="0" w:color="auto"/>
              <w:left w:val="nil"/>
              <w:bottom w:val="single" w:sz="8"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17,401</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16,991</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16,375</w:t>
            </w:r>
          </w:p>
        </w:tc>
      </w:tr>
      <w:tr w:rsidR="00813416" w:rsidRPr="005851DC" w:rsidTr="00813416">
        <w:trPr>
          <w:trHeight w:val="300"/>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single" w:sz="4"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Nondegree</w:t>
            </w:r>
          </w:p>
        </w:tc>
        <w:tc>
          <w:tcPr>
            <w:tcW w:w="1440" w:type="dxa"/>
            <w:tcBorders>
              <w:top w:val="nil"/>
              <w:left w:val="nil"/>
              <w:bottom w:val="single" w:sz="4"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Resident</w:t>
            </w:r>
          </w:p>
        </w:tc>
        <w:tc>
          <w:tcPr>
            <w:tcW w:w="1170" w:type="dxa"/>
            <w:tcBorders>
              <w:top w:val="nil"/>
              <w:left w:val="single" w:sz="8" w:space="0" w:color="auto"/>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w:t>
            </w:r>
          </w:p>
        </w:tc>
        <w:tc>
          <w:tcPr>
            <w:tcW w:w="1170" w:type="dxa"/>
            <w:tcBorders>
              <w:top w:val="nil"/>
              <w:left w:val="nil"/>
              <w:bottom w:val="single" w:sz="4"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w:t>
            </w:r>
          </w:p>
        </w:tc>
      </w:tr>
      <w:tr w:rsidR="00813416" w:rsidRPr="005851DC" w:rsidTr="00813416">
        <w:trPr>
          <w:trHeight w:val="315"/>
        </w:trPr>
        <w:tc>
          <w:tcPr>
            <w:tcW w:w="2560" w:type="dxa"/>
            <w:tcBorders>
              <w:top w:val="nil"/>
              <w:left w:val="single" w:sz="8" w:space="0" w:color="auto"/>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Undergraduate</w:t>
            </w:r>
          </w:p>
        </w:tc>
        <w:tc>
          <w:tcPr>
            <w:tcW w:w="1660" w:type="dxa"/>
            <w:tcBorders>
              <w:top w:val="nil"/>
              <w:left w:val="nil"/>
              <w:bottom w:val="nil"/>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Nondegree</w:t>
            </w:r>
          </w:p>
        </w:tc>
        <w:tc>
          <w:tcPr>
            <w:tcW w:w="1440" w:type="dxa"/>
            <w:tcBorders>
              <w:top w:val="nil"/>
              <w:left w:val="nil"/>
              <w:bottom w:val="nil"/>
              <w:right w:val="nil"/>
            </w:tcBorders>
            <w:shd w:val="clear" w:color="auto" w:fill="auto"/>
            <w:noWrap/>
            <w:vAlign w:val="center"/>
            <w:hideMark/>
          </w:tcPr>
          <w:p w:rsidR="00813416" w:rsidRPr="00813416" w:rsidRDefault="00813416" w:rsidP="005851DC">
            <w:pPr>
              <w:rPr>
                <w:rFonts w:ascii="Calibri" w:eastAsia="Times New Roman" w:hAnsi="Calibri" w:cs="Calibri"/>
                <w:color w:val="000000"/>
              </w:rPr>
            </w:pPr>
            <w:r w:rsidRPr="00813416">
              <w:rPr>
                <w:rFonts w:ascii="Calibri" w:eastAsia="Times New Roman" w:hAnsi="Calibri" w:cs="Calibri"/>
                <w:color w:val="000000"/>
              </w:rPr>
              <w:t>NonResident</w:t>
            </w:r>
          </w:p>
        </w:tc>
        <w:tc>
          <w:tcPr>
            <w:tcW w:w="1170" w:type="dxa"/>
            <w:tcBorders>
              <w:top w:val="nil"/>
              <w:left w:val="single" w:sz="8" w:space="0" w:color="auto"/>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w:t>
            </w:r>
          </w:p>
        </w:tc>
        <w:tc>
          <w:tcPr>
            <w:tcW w:w="1170" w:type="dxa"/>
            <w:tcBorders>
              <w:top w:val="nil"/>
              <w:left w:val="nil"/>
              <w:bottom w:val="nil"/>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color w:val="000000"/>
              </w:rPr>
            </w:pPr>
            <w:r w:rsidRPr="00813416">
              <w:rPr>
                <w:rFonts w:ascii="Calibri" w:eastAsia="Times New Roman" w:hAnsi="Calibri" w:cs="Calibri"/>
                <w:color w:val="000000"/>
              </w:rPr>
              <w:t>-</w:t>
            </w:r>
          </w:p>
        </w:tc>
      </w:tr>
      <w:tr w:rsidR="00813416" w:rsidRPr="005851DC" w:rsidTr="00813416">
        <w:trPr>
          <w:trHeight w:val="315"/>
        </w:trPr>
        <w:tc>
          <w:tcPr>
            <w:tcW w:w="25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r w:rsidRPr="00813416">
              <w:rPr>
                <w:rFonts w:ascii="Calibri" w:eastAsia="Times New Roman" w:hAnsi="Calibri" w:cs="Calibri"/>
                <w:b/>
                <w:bCs/>
                <w:color w:val="000000"/>
              </w:rPr>
              <w:t>Subtotal</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440" w:type="dxa"/>
            <w:tcBorders>
              <w:top w:val="single" w:sz="8" w:space="0" w:color="auto"/>
              <w:left w:val="nil"/>
              <w:bottom w:val="single" w:sz="8" w:space="0" w:color="auto"/>
              <w:right w:val="nil"/>
            </w:tcBorders>
            <w:shd w:val="clear" w:color="auto" w:fill="auto"/>
            <w:noWrap/>
            <w:vAlign w:val="center"/>
            <w:hideMark/>
          </w:tcPr>
          <w:p w:rsidR="00813416" w:rsidRPr="00813416" w:rsidRDefault="00813416" w:rsidP="005851DC">
            <w:pPr>
              <w:rPr>
                <w:rFonts w:ascii="Calibri" w:eastAsia="Times New Roman" w:hAnsi="Calibri" w:cs="Calibri"/>
                <w:b/>
                <w:bCs/>
                <w:color w:val="000000"/>
              </w:rPr>
            </w:pPr>
          </w:p>
        </w:tc>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w:t>
            </w:r>
          </w:p>
        </w:tc>
      </w:tr>
      <w:tr w:rsidR="00813416" w:rsidRPr="005851DC" w:rsidTr="00813416">
        <w:trPr>
          <w:trHeight w:val="315"/>
        </w:trPr>
        <w:tc>
          <w:tcPr>
            <w:tcW w:w="2560" w:type="dxa"/>
            <w:tcBorders>
              <w:top w:val="nil"/>
              <w:left w:val="single" w:sz="8" w:space="0" w:color="auto"/>
              <w:bottom w:val="single" w:sz="8" w:space="0" w:color="auto"/>
              <w:right w:val="single" w:sz="4" w:space="0" w:color="auto"/>
            </w:tcBorders>
            <w:shd w:val="clear" w:color="000000" w:fill="C6E0B4"/>
            <w:noWrap/>
            <w:vAlign w:val="center"/>
            <w:hideMark/>
          </w:tcPr>
          <w:p w:rsidR="00813416" w:rsidRPr="00813416" w:rsidRDefault="00813416" w:rsidP="005851DC">
            <w:pPr>
              <w:rPr>
                <w:rFonts w:ascii="Calibri" w:eastAsia="Times New Roman" w:hAnsi="Calibri" w:cs="Calibri"/>
                <w:b/>
                <w:bCs/>
                <w:color w:val="000000"/>
              </w:rPr>
            </w:pPr>
            <w:r w:rsidRPr="00813416">
              <w:rPr>
                <w:rFonts w:ascii="Calibri" w:eastAsia="Times New Roman" w:hAnsi="Calibri" w:cs="Calibri"/>
                <w:b/>
                <w:bCs/>
                <w:color w:val="000000"/>
              </w:rPr>
              <w:t>Subtotal Undergraduate</w:t>
            </w:r>
          </w:p>
        </w:tc>
        <w:tc>
          <w:tcPr>
            <w:tcW w:w="1660" w:type="dxa"/>
            <w:tcBorders>
              <w:top w:val="nil"/>
              <w:left w:val="nil"/>
              <w:bottom w:val="single" w:sz="8" w:space="0" w:color="auto"/>
              <w:right w:val="single" w:sz="4" w:space="0" w:color="auto"/>
            </w:tcBorders>
            <w:shd w:val="clear" w:color="000000" w:fill="C6E0B4"/>
            <w:noWrap/>
            <w:vAlign w:val="center"/>
            <w:hideMark/>
          </w:tcPr>
          <w:p w:rsidR="00813416" w:rsidRPr="00813416" w:rsidRDefault="00813416" w:rsidP="005851DC">
            <w:pPr>
              <w:rPr>
                <w:rFonts w:ascii="Calibri" w:eastAsia="Times New Roman" w:hAnsi="Calibri" w:cs="Calibri"/>
                <w:b/>
                <w:bCs/>
                <w:color w:val="000000"/>
              </w:rPr>
            </w:pPr>
          </w:p>
        </w:tc>
        <w:tc>
          <w:tcPr>
            <w:tcW w:w="1440" w:type="dxa"/>
            <w:tcBorders>
              <w:top w:val="nil"/>
              <w:left w:val="nil"/>
              <w:bottom w:val="single" w:sz="8" w:space="0" w:color="auto"/>
              <w:right w:val="nil"/>
            </w:tcBorders>
            <w:shd w:val="clear" w:color="000000" w:fill="C6E0B4"/>
            <w:noWrap/>
            <w:vAlign w:val="center"/>
            <w:hideMark/>
          </w:tcPr>
          <w:p w:rsidR="00813416" w:rsidRPr="00813416" w:rsidRDefault="00813416" w:rsidP="005851DC">
            <w:pPr>
              <w:rPr>
                <w:rFonts w:ascii="Calibri" w:eastAsia="Times New Roman" w:hAnsi="Calibri" w:cs="Calibri"/>
                <w:b/>
                <w:bCs/>
                <w:color w:val="000000"/>
              </w:rPr>
            </w:pPr>
          </w:p>
        </w:tc>
        <w:tc>
          <w:tcPr>
            <w:tcW w:w="1170" w:type="dxa"/>
            <w:tcBorders>
              <w:top w:val="nil"/>
              <w:left w:val="single" w:sz="8" w:space="0" w:color="auto"/>
              <w:bottom w:val="single" w:sz="8" w:space="0" w:color="auto"/>
              <w:right w:val="single" w:sz="8" w:space="0" w:color="auto"/>
            </w:tcBorders>
            <w:shd w:val="clear" w:color="000000" w:fill="C6E0B4"/>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21,469</w:t>
            </w:r>
          </w:p>
        </w:tc>
        <w:tc>
          <w:tcPr>
            <w:tcW w:w="1170" w:type="dxa"/>
            <w:tcBorders>
              <w:top w:val="nil"/>
              <w:left w:val="nil"/>
              <w:bottom w:val="single" w:sz="8" w:space="0" w:color="auto"/>
              <w:right w:val="single" w:sz="8" w:space="0" w:color="auto"/>
            </w:tcBorders>
            <w:shd w:val="clear" w:color="000000" w:fill="C6E0B4"/>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23,113</w:t>
            </w:r>
          </w:p>
        </w:tc>
        <w:tc>
          <w:tcPr>
            <w:tcW w:w="1170" w:type="dxa"/>
            <w:tcBorders>
              <w:top w:val="nil"/>
              <w:left w:val="nil"/>
              <w:bottom w:val="single" w:sz="8" w:space="0" w:color="auto"/>
              <w:right w:val="single" w:sz="8" w:space="0" w:color="auto"/>
            </w:tcBorders>
            <w:shd w:val="clear" w:color="000000" w:fill="C6E0B4"/>
            <w:noWrap/>
            <w:vAlign w:val="center"/>
            <w:hideMark/>
          </w:tcPr>
          <w:p w:rsidR="00813416" w:rsidRPr="00813416" w:rsidRDefault="00813416" w:rsidP="005851DC">
            <w:pPr>
              <w:ind w:firstLineChars="100" w:firstLine="220"/>
              <w:jc w:val="right"/>
              <w:rPr>
                <w:rFonts w:ascii="Calibri" w:eastAsia="Times New Roman" w:hAnsi="Calibri" w:cs="Calibri"/>
                <w:b/>
                <w:bCs/>
                <w:color w:val="000000"/>
              </w:rPr>
            </w:pPr>
            <w:r w:rsidRPr="00813416">
              <w:rPr>
                <w:rFonts w:ascii="Calibri" w:eastAsia="Times New Roman" w:hAnsi="Calibri" w:cs="Calibri"/>
                <w:b/>
                <w:bCs/>
                <w:color w:val="000000"/>
              </w:rPr>
              <w:t>23,376</w:t>
            </w:r>
          </w:p>
        </w:tc>
      </w:tr>
    </w:tbl>
    <w:p w:rsidR="005851DC" w:rsidRPr="005851DC" w:rsidRDefault="005851DC" w:rsidP="00BD6A1B">
      <w:pPr>
        <w:spacing w:before="120"/>
        <w:rPr>
          <w:rFonts w:ascii="Calibri" w:eastAsia="Times New Roman" w:hAnsi="Calibri" w:cs="Calibri"/>
        </w:rPr>
      </w:pPr>
      <w:r w:rsidRPr="005851DC">
        <w:rPr>
          <w:rFonts w:ascii="Calibri" w:eastAsia="Times New Roman" w:hAnsi="Calibri" w:cs="Calibri"/>
        </w:rPr>
        <w:t xml:space="preserve">D Tobiassen Baitinger noted that an extra week of 0% assessment for university withdrawal has been </w:t>
      </w:r>
      <w:proofErr w:type="gramStart"/>
      <w:r w:rsidRPr="005851DC">
        <w:rPr>
          <w:rFonts w:ascii="Calibri" w:eastAsia="Times New Roman" w:hAnsi="Calibri" w:cs="Calibri"/>
        </w:rPr>
        <w:t>implemented</w:t>
      </w:r>
      <w:proofErr w:type="gramEnd"/>
      <w:r w:rsidRPr="005851DC">
        <w:rPr>
          <w:rFonts w:ascii="Calibri" w:eastAsia="Times New Roman" w:hAnsi="Calibri" w:cs="Calibri"/>
        </w:rPr>
        <w:t>. Provost Pedersen and Faculty Council Executive Committee extended the late withdrawal to the last day of class, not including finals, which would be implemented. There are no plans to implement S/U grading for Fall 2021. Students would follow the normal S/U process.</w:t>
      </w:r>
    </w:p>
    <w:p w:rsid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u w:val="single"/>
        </w:rPr>
        <w:t xml:space="preserve">Schedule for the Rate of Assessment for </w:t>
      </w:r>
      <w:proofErr w:type="gramStart"/>
      <w:r w:rsidRPr="005851DC">
        <w:rPr>
          <w:rFonts w:ascii="Calibri" w:eastAsia="Times New Roman" w:hAnsi="Calibri" w:cs="Calibri"/>
          <w:b/>
          <w:bCs/>
          <w:u w:val="single"/>
        </w:rPr>
        <w:t>Fall</w:t>
      </w:r>
      <w:proofErr w:type="gramEnd"/>
      <w:r w:rsidRPr="005851DC">
        <w:rPr>
          <w:rFonts w:ascii="Calibri" w:eastAsia="Times New Roman" w:hAnsi="Calibri" w:cs="Calibri"/>
          <w:b/>
          <w:bCs/>
          <w:u w:val="single"/>
        </w:rPr>
        <w:t xml:space="preserve"> 2021</w:t>
      </w:r>
      <w:r w:rsidRPr="005851DC">
        <w:rPr>
          <w:rFonts w:ascii="Calibri" w:eastAsia="Times New Roman" w:hAnsi="Calibri" w:cs="Calibri"/>
        </w:rPr>
        <w:t>:</w:t>
      </w:r>
    </w:p>
    <w:p w:rsidR="005851DC" w:rsidRPr="005851DC" w:rsidRDefault="005851DC" w:rsidP="00BD6A1B">
      <w:pPr>
        <w:numPr>
          <w:ilvl w:val="0"/>
          <w:numId w:val="2"/>
        </w:numPr>
        <w:spacing w:before="120"/>
        <w:rPr>
          <w:rFonts w:ascii="Calibri" w:eastAsia="Times New Roman" w:hAnsi="Calibri" w:cs="Calibri"/>
        </w:rPr>
      </w:pPr>
      <w:r w:rsidRPr="005851DC">
        <w:rPr>
          <w:rFonts w:ascii="Calibri" w:eastAsia="Times New Roman" w:hAnsi="Calibri" w:cs="Calibri"/>
        </w:rPr>
        <w:t>September 5, 2021: Last day for 0% assessment of tuition and general fees</w:t>
      </w:r>
    </w:p>
    <w:p w:rsidR="005851DC" w:rsidRPr="005851DC" w:rsidRDefault="005851DC" w:rsidP="005851DC">
      <w:pPr>
        <w:numPr>
          <w:ilvl w:val="0"/>
          <w:numId w:val="2"/>
        </w:numPr>
        <w:rPr>
          <w:rFonts w:ascii="Calibri" w:eastAsia="Times New Roman" w:hAnsi="Calibri" w:cs="Calibri"/>
        </w:rPr>
      </w:pPr>
      <w:r w:rsidRPr="005851DC">
        <w:rPr>
          <w:rFonts w:ascii="Calibri" w:eastAsia="Times New Roman" w:hAnsi="Calibri" w:cs="Calibri"/>
        </w:rPr>
        <w:lastRenderedPageBreak/>
        <w:t>September 12, 2021: Last day for 25% assessment of tuition and general fees</w:t>
      </w:r>
    </w:p>
    <w:p w:rsidR="005851DC" w:rsidRPr="005851DC" w:rsidRDefault="005851DC" w:rsidP="005851DC">
      <w:pPr>
        <w:numPr>
          <w:ilvl w:val="0"/>
          <w:numId w:val="2"/>
        </w:numPr>
        <w:rPr>
          <w:rFonts w:ascii="Calibri" w:eastAsia="Times New Roman" w:hAnsi="Calibri" w:cs="Calibri"/>
        </w:rPr>
      </w:pPr>
      <w:r w:rsidRPr="005851DC">
        <w:rPr>
          <w:rFonts w:ascii="Calibri" w:eastAsia="Times New Roman" w:hAnsi="Calibri" w:cs="Calibri"/>
        </w:rPr>
        <w:t>September 19, 2021: Last day for 50% assessment of tuition and general fees</w:t>
      </w:r>
    </w:p>
    <w:p w:rsidR="005851DC" w:rsidRPr="005851DC" w:rsidRDefault="005851DC" w:rsidP="005851DC">
      <w:pPr>
        <w:numPr>
          <w:ilvl w:val="0"/>
          <w:numId w:val="2"/>
        </w:numPr>
        <w:rPr>
          <w:rFonts w:ascii="Calibri" w:eastAsia="Times New Roman" w:hAnsi="Calibri" w:cs="Calibri"/>
        </w:rPr>
      </w:pPr>
      <w:r w:rsidRPr="005851DC">
        <w:rPr>
          <w:rFonts w:ascii="Calibri" w:eastAsia="Times New Roman" w:hAnsi="Calibri" w:cs="Calibri"/>
        </w:rPr>
        <w:t>September 20, 2021 through the last day of classes (before Final Exams week): 100% assessment of tuition and general fees</w:t>
      </w:r>
    </w:p>
    <w:p w:rsidR="00BD6A1B" w:rsidRDefault="00BD6A1B"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Has communication been sent to students? Pam Jackson would work with Tonie Miyamoto on a student-facing message. Pam Jackson would work on a faculty-facing message.</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rPr>
        <w:t>Update from Facilities</w:t>
      </w:r>
      <w:r w:rsidRPr="005851DC">
        <w:rPr>
          <w:rFonts w:ascii="Calibri" w:eastAsia="Times New Roman" w:hAnsi="Calibri" w:cs="Calibri"/>
        </w:rPr>
        <w:t xml:space="preserve"> - Kristi Buffington noted that seating charts have been updated. GA classrooms have been setup. Seating charts are not required but recommended. </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Ken Quintana noted no issues.</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rPr>
        <w:t>Update from TILT</w:t>
      </w:r>
      <w:r w:rsidRPr="005851DC">
        <w:rPr>
          <w:rFonts w:ascii="Calibri" w:eastAsia="Times New Roman" w:hAnsi="Calibri" w:cs="Calibri"/>
        </w:rPr>
        <w:t xml:space="preserve"> - Gwen Gorzelsky circulated resources and professional development offerings to faculty. TILT would pilot a Critical Thinking Best Practices and Teaching Course based on faculty feedback during the pandemic.</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New Faculty Orientation has been scheduled for three sessions and has been redesigned around a case-based learning approach. Faculty would receive scenarios collaborate and address in groups. </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rPr>
        <w:t xml:space="preserve">Update from IT </w:t>
      </w:r>
      <w:r w:rsidRPr="005851DC">
        <w:rPr>
          <w:rFonts w:ascii="Calibri" w:eastAsia="Times New Roman" w:hAnsi="Calibri" w:cs="Calibri"/>
        </w:rPr>
        <w:t>- Brandon Bernier noted no issues. No press for microphones or OWL cameras.</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rPr>
        <w:t>Update from Student Affairs</w:t>
      </w:r>
      <w:r w:rsidRPr="005851DC">
        <w:rPr>
          <w:rFonts w:ascii="Calibri" w:eastAsia="Times New Roman" w:hAnsi="Calibri" w:cs="Calibri"/>
        </w:rPr>
        <w:t xml:space="preserve"> - Jody Donovan noted that the Public Health Ambassadors were present throughout Ram Welcome. </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rPr>
        <w:t>Discussion on Communication</w:t>
      </w:r>
      <w:r w:rsidRPr="005851DC">
        <w:rPr>
          <w:rFonts w:ascii="Calibri" w:eastAsia="Times New Roman" w:hAnsi="Calibri" w:cs="Calibri"/>
        </w:rPr>
        <w:t xml:space="preserve"> - Kelly Long noted a concern about the message sent to advisors last week. </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Discussion on the fundamental alteration process. There appears to be confusion. There are process guidelines though no form. Justin Dove has been asked to develop a form. </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Kelly Long shared a dialogue between Justin Dove and Gaye DiGregorio. Do we refine the message? Do we wait instead? </w:t>
      </w:r>
    </w:p>
    <w:p w:rsidR="005851DC" w:rsidRPr="005851DC" w:rsidRDefault="005851DC" w:rsidP="00BD6A1B">
      <w:pPr>
        <w:numPr>
          <w:ilvl w:val="0"/>
          <w:numId w:val="3"/>
        </w:numPr>
        <w:spacing w:before="120"/>
        <w:rPr>
          <w:rFonts w:ascii="Calibri" w:eastAsia="Times New Roman" w:hAnsi="Calibri" w:cs="Calibri"/>
        </w:rPr>
      </w:pPr>
      <w:r w:rsidRPr="005851DC">
        <w:rPr>
          <w:rFonts w:ascii="Calibri" w:eastAsia="Times New Roman" w:hAnsi="Calibri" w:cs="Calibri"/>
        </w:rPr>
        <w:t xml:space="preserve">Record Lectures, </w:t>
      </w:r>
      <w:r w:rsidRPr="005851DC">
        <w:rPr>
          <w:rFonts w:ascii="Calibri" w:eastAsia="Times New Roman" w:hAnsi="Calibri" w:cs="Calibri"/>
          <w:b/>
          <w:bCs/>
          <w:i/>
          <w:iCs/>
        </w:rPr>
        <w:t>when the modality is used</w:t>
      </w:r>
      <w:r w:rsidRPr="005851DC">
        <w:rPr>
          <w:rFonts w:ascii="Calibri" w:eastAsia="Times New Roman" w:hAnsi="Calibri" w:cs="Calibri"/>
        </w:rPr>
        <w:t>: Kelly Long emphasized that not all faculty record their lectures or are on Canvas. </w:t>
      </w:r>
    </w:p>
    <w:p w:rsidR="005851DC" w:rsidRPr="005851DC" w:rsidRDefault="005851DC" w:rsidP="005851DC">
      <w:pPr>
        <w:numPr>
          <w:ilvl w:val="0"/>
          <w:numId w:val="3"/>
        </w:numPr>
        <w:rPr>
          <w:rFonts w:ascii="Calibri" w:eastAsia="Times New Roman" w:hAnsi="Calibri" w:cs="Calibri"/>
        </w:rPr>
      </w:pPr>
      <w:r w:rsidRPr="005851DC">
        <w:rPr>
          <w:rFonts w:ascii="Calibri" w:eastAsia="Times New Roman" w:hAnsi="Calibri" w:cs="Calibri"/>
        </w:rPr>
        <w:t xml:space="preserve">Virtual Participation, </w:t>
      </w:r>
      <w:r w:rsidRPr="005851DC">
        <w:rPr>
          <w:rFonts w:ascii="Calibri" w:eastAsia="Times New Roman" w:hAnsi="Calibri" w:cs="Calibri"/>
          <w:b/>
          <w:bCs/>
          <w:i/>
          <w:iCs/>
        </w:rPr>
        <w:t>without disrupting the course structure</w:t>
      </w:r>
      <w:r w:rsidRPr="005851DC">
        <w:rPr>
          <w:rFonts w:ascii="Calibri" w:eastAsia="Times New Roman" w:hAnsi="Calibri" w:cs="Calibri"/>
        </w:rPr>
        <w:t>: Is it possible to allow students through an external structure (Teams) as an accommodation? There are challenges for remote students to participate in the course. How could we offer this option in an equitable manner?</w:t>
      </w:r>
    </w:p>
    <w:p w:rsidR="005851DC" w:rsidRPr="005851DC" w:rsidRDefault="005851DC" w:rsidP="005851DC">
      <w:pPr>
        <w:numPr>
          <w:ilvl w:val="0"/>
          <w:numId w:val="3"/>
        </w:numPr>
        <w:rPr>
          <w:rFonts w:ascii="Calibri" w:eastAsia="Times New Roman" w:hAnsi="Calibri" w:cs="Calibri"/>
        </w:rPr>
      </w:pPr>
      <w:r w:rsidRPr="005851DC">
        <w:rPr>
          <w:rFonts w:ascii="Calibri" w:eastAsia="Times New Roman" w:hAnsi="Calibri" w:cs="Calibri"/>
        </w:rPr>
        <w:t xml:space="preserve">Virtual Access to Tests/Quizzes, </w:t>
      </w:r>
      <w:r w:rsidRPr="005851DC">
        <w:rPr>
          <w:rFonts w:ascii="Calibri" w:eastAsia="Times New Roman" w:hAnsi="Calibri" w:cs="Calibri"/>
          <w:b/>
          <w:bCs/>
          <w:i/>
          <w:iCs/>
        </w:rPr>
        <w:t>when already setup</w:t>
      </w:r>
      <w:r w:rsidRPr="005851DC">
        <w:rPr>
          <w:rFonts w:ascii="Calibri" w:eastAsia="Times New Roman" w:hAnsi="Calibri" w:cs="Calibri"/>
        </w:rPr>
        <w:t>: There are challenges for faculty in setting up quizzes and/or tests if they are not already setup for virtual access. </w:t>
      </w:r>
    </w:p>
    <w:p w:rsidR="00BD6A1B" w:rsidRDefault="00BD6A1B"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Jan Nerger suggested a "wait and see" approach.</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There was concern about the message sent to advisors as it suggested that faculty "must" accommodate students. There was an issue in the messaging to an individual faculty member that virtual recordings happened in the prior semesters and could be done again. Faculty did not feel the recordings were a good learning experience for students and created other issues with participation and attendance. </w:t>
      </w:r>
    </w:p>
    <w:p w:rsidR="005851DC" w:rsidRPr="005851DC" w:rsidRDefault="005851DC" w:rsidP="005851DC">
      <w:pPr>
        <w:rPr>
          <w:rFonts w:ascii="Calibri" w:eastAsia="Times New Roman" w:hAnsi="Calibri" w:cs="Calibri"/>
        </w:rPr>
      </w:pPr>
      <w:bookmarkStart w:id="0" w:name="_GoBack"/>
      <w:bookmarkEnd w:id="0"/>
      <w:r w:rsidRPr="005851DC">
        <w:rPr>
          <w:rFonts w:ascii="Calibri" w:eastAsia="Times New Roman" w:hAnsi="Calibri" w:cs="Calibri"/>
        </w:rPr>
        <w:lastRenderedPageBreak/>
        <w:t>Ben Withers noted the following: </w:t>
      </w:r>
    </w:p>
    <w:p w:rsidR="005851DC" w:rsidRPr="005851DC" w:rsidRDefault="005851DC" w:rsidP="00BD6A1B">
      <w:pPr>
        <w:numPr>
          <w:ilvl w:val="0"/>
          <w:numId w:val="4"/>
        </w:numPr>
        <w:spacing w:before="120"/>
        <w:rPr>
          <w:rFonts w:ascii="Calibri" w:eastAsia="Times New Roman" w:hAnsi="Calibri" w:cs="Calibri"/>
        </w:rPr>
      </w:pPr>
      <w:r w:rsidRPr="005851DC">
        <w:rPr>
          <w:rFonts w:ascii="Calibri" w:eastAsia="Times New Roman" w:hAnsi="Calibri" w:cs="Calibri"/>
          <w:i/>
          <w:iCs/>
        </w:rPr>
        <w:t>Could the SDC provide data on accommodations from last semester?</w:t>
      </w:r>
    </w:p>
    <w:p w:rsidR="005851DC" w:rsidRPr="005851DC" w:rsidRDefault="005851DC" w:rsidP="005851DC">
      <w:pPr>
        <w:numPr>
          <w:ilvl w:val="0"/>
          <w:numId w:val="4"/>
        </w:numPr>
        <w:rPr>
          <w:rFonts w:ascii="Calibri" w:eastAsia="Times New Roman" w:hAnsi="Calibri" w:cs="Calibri"/>
        </w:rPr>
      </w:pPr>
      <w:r w:rsidRPr="005851DC">
        <w:rPr>
          <w:rFonts w:ascii="Calibri" w:eastAsia="Times New Roman" w:hAnsi="Calibri" w:cs="Calibri"/>
          <w:i/>
          <w:iCs/>
        </w:rPr>
        <w:t>Could we revisit the terminology to differentiate between accommodations (SDC requests) and arrangements (non-SDC requests) to alleviate confusion among faculty?</w:t>
      </w:r>
    </w:p>
    <w:p w:rsidR="005851DC" w:rsidRPr="005851DC" w:rsidRDefault="005851DC" w:rsidP="005851DC">
      <w:pPr>
        <w:numPr>
          <w:ilvl w:val="0"/>
          <w:numId w:val="4"/>
        </w:numPr>
        <w:rPr>
          <w:rFonts w:ascii="Calibri" w:eastAsia="Times New Roman" w:hAnsi="Calibri" w:cs="Calibri"/>
        </w:rPr>
      </w:pPr>
      <w:r w:rsidRPr="005851DC">
        <w:rPr>
          <w:rFonts w:ascii="Calibri" w:eastAsia="Times New Roman" w:hAnsi="Calibri" w:cs="Calibri"/>
          <w:i/>
          <w:iCs/>
        </w:rPr>
        <w:t xml:space="preserve">How do faculty address student illness? </w:t>
      </w:r>
    </w:p>
    <w:p w:rsidR="00BD6A1B" w:rsidRDefault="00BD6A1B"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 xml:space="preserve">Lise Youngblade noted a potential confusion in that </w:t>
      </w:r>
      <w:r w:rsidR="00BD6A1B" w:rsidRPr="005851DC">
        <w:rPr>
          <w:rFonts w:ascii="Calibri" w:eastAsia="Times New Roman" w:hAnsi="Calibri" w:cs="Calibri"/>
        </w:rPr>
        <w:t>it</w:t>
      </w:r>
      <w:r w:rsidRPr="005851DC">
        <w:rPr>
          <w:rFonts w:ascii="Calibri" w:eastAsia="Times New Roman" w:hAnsi="Calibri" w:cs="Calibri"/>
        </w:rPr>
        <w:t xml:space="preserve"> was not reiterated as a SDC or ADA accommodation. Faculty are nervous about the illness, quarantine, etc. aspect. Faculty are concerned about returning to a hybrid situation.</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Jody Donovan noted that students quarantining would not be directed to the CSU Health Network. </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i/>
          <w:iCs/>
        </w:rPr>
        <w:t xml:space="preserve">How would faculty verify? </w:t>
      </w:r>
      <w:r w:rsidRPr="005851DC">
        <w:rPr>
          <w:rFonts w:ascii="Calibri" w:eastAsia="Times New Roman" w:hAnsi="Calibri" w:cs="Calibri"/>
        </w:rPr>
        <w:t>Kelly Long, Ben Withers, and Jody Donovan would follow-up with the Pandemic Team.</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Ben Withers asked the enforcement mechanism for student non-compliance. Jody Donovan noted a graduated approach for communicating with students about non-compliance. </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Discussion on interim-suspended students from campus.</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b/>
          <w:bCs/>
        </w:rPr>
        <w:t>Update on Student Casement Management</w:t>
      </w:r>
      <w:r w:rsidRPr="005851DC">
        <w:rPr>
          <w:rFonts w:ascii="Calibri" w:eastAsia="Times New Roman" w:hAnsi="Calibri" w:cs="Calibri"/>
        </w:rPr>
        <w:t xml:space="preserve"> - Jody Donovan (via chat) noted that Student Case Management reaches out to every student who is in isolation or quarantine on a daily basis. They discuss academics, employment, well-being, etc. They encourage students to email their faculty about missing class due to isolation/quarantine. If a faculty member doubts a student, the faculty could ask the student to get a notification from Case Management. It is the preference that Case Management not notify every faculty as most faculty are great working directly with students.</w:t>
      </w:r>
    </w:p>
    <w:p w:rsidR="005851DC" w:rsidRPr="005851DC" w:rsidRDefault="005851DC"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Jody Donovan (via chat) provided an update from Mike Katz, Director of the Student Resolution Center: </w:t>
      </w:r>
    </w:p>
    <w:p w:rsidR="005851DC" w:rsidRPr="005851DC" w:rsidRDefault="005851DC" w:rsidP="00BD6A1B">
      <w:pPr>
        <w:numPr>
          <w:ilvl w:val="0"/>
          <w:numId w:val="5"/>
        </w:numPr>
        <w:spacing w:before="120"/>
        <w:rPr>
          <w:rFonts w:ascii="Calibri" w:eastAsia="Times New Roman" w:hAnsi="Calibri" w:cs="Calibri"/>
        </w:rPr>
      </w:pPr>
      <w:r w:rsidRPr="005851DC">
        <w:rPr>
          <w:rFonts w:ascii="Calibri" w:eastAsia="Times New Roman" w:hAnsi="Calibri" w:cs="Calibri"/>
        </w:rPr>
        <w:t>If a student is suspended from physically attending classes or accessing the University campus due to non-compliance, it would be up to the student to work with their faculty to inquire about possible arrangements to continue their learning. Frequently, a Student Case Manager would work with the student and their faculty to brainstorm possible arrangements (in cases where the student was interim suspended from campus pending a University Hearing). It was never required for faculty to make arrangements, however, many faculty chose to develop ways to deliver lecture notes, exams, etc. through the Student Case Manager.</w:t>
      </w:r>
    </w:p>
    <w:p w:rsidR="005851DC" w:rsidRPr="005851DC" w:rsidRDefault="005851DC" w:rsidP="005851DC">
      <w:pPr>
        <w:numPr>
          <w:ilvl w:val="0"/>
          <w:numId w:val="5"/>
        </w:numPr>
        <w:rPr>
          <w:rFonts w:ascii="Calibri" w:eastAsia="Times New Roman" w:hAnsi="Calibri" w:cs="Calibri"/>
        </w:rPr>
      </w:pPr>
      <w:r w:rsidRPr="005851DC">
        <w:rPr>
          <w:rFonts w:ascii="Calibri" w:eastAsia="Times New Roman" w:hAnsi="Calibri" w:cs="Calibri"/>
        </w:rPr>
        <w:t>According to Mike Katz, he believes faculty should treat the student in a non-compliance suspension situation similar to a student who is absent from class for other reasons. </w:t>
      </w:r>
    </w:p>
    <w:p w:rsidR="005851DC" w:rsidRPr="005851DC" w:rsidRDefault="005851DC" w:rsidP="005851DC">
      <w:pPr>
        <w:numPr>
          <w:ilvl w:val="0"/>
          <w:numId w:val="5"/>
        </w:numPr>
        <w:rPr>
          <w:rFonts w:ascii="Calibri" w:eastAsia="Times New Roman" w:hAnsi="Calibri" w:cs="Calibri"/>
        </w:rPr>
      </w:pPr>
      <w:r w:rsidRPr="005851DC">
        <w:rPr>
          <w:rFonts w:ascii="Calibri" w:eastAsia="Times New Roman" w:hAnsi="Calibri" w:cs="Calibri"/>
        </w:rPr>
        <w:t>At this time, we do not have the staffing resources to reach out to faculty proactively for suspended students; however, a faculty member could call the Student Resolution Center for confirmation that the student should not be in class.</w:t>
      </w:r>
    </w:p>
    <w:p w:rsidR="00BD6A1B" w:rsidRDefault="00BD6A1B" w:rsidP="005851DC">
      <w:pPr>
        <w:rPr>
          <w:rFonts w:ascii="Calibri" w:eastAsia="Times New Roman" w:hAnsi="Calibri" w:cs="Calibri"/>
        </w:rPr>
      </w:pPr>
    </w:p>
    <w:p w:rsidR="005851DC" w:rsidRPr="005851DC" w:rsidRDefault="005851DC" w:rsidP="005851DC">
      <w:pPr>
        <w:rPr>
          <w:rFonts w:ascii="Calibri" w:eastAsia="Times New Roman" w:hAnsi="Calibri" w:cs="Calibri"/>
        </w:rPr>
      </w:pPr>
      <w:r w:rsidRPr="005851DC">
        <w:rPr>
          <w:rFonts w:ascii="Calibri" w:eastAsia="Times New Roman" w:hAnsi="Calibri" w:cs="Calibri"/>
        </w:rPr>
        <w:t>Ben Withers (via chat): It would be useful to further discuss this given the potential for widely variable approaches by faculty. I am wondering, too, about the advice to treat non-compliant students as if they were absent for other reasons; at best this would be a non-excused absence? Since it is difficult to address nuances in chat, perhaps a more fulsome verbal discussion is in order.</w:t>
      </w:r>
    </w:p>
    <w:sectPr w:rsidR="005851DC" w:rsidRPr="00585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387B"/>
    <w:multiLevelType w:val="multilevel"/>
    <w:tmpl w:val="234A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EC1170"/>
    <w:multiLevelType w:val="multilevel"/>
    <w:tmpl w:val="51D0F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315AEE"/>
    <w:multiLevelType w:val="multilevel"/>
    <w:tmpl w:val="6C427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D006A8"/>
    <w:multiLevelType w:val="multilevel"/>
    <w:tmpl w:val="2F844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0E3D6B"/>
    <w:multiLevelType w:val="multilevel"/>
    <w:tmpl w:val="C1F0B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416"/>
    <w:rsid w:val="005851DC"/>
    <w:rsid w:val="00813416"/>
    <w:rsid w:val="008B3999"/>
    <w:rsid w:val="00BD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1DD10"/>
  <w15:chartTrackingRefBased/>
  <w15:docId w15:val="{199CDB17-FDDA-4094-96CF-8CACE992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851DC"/>
    <w:rPr>
      <w:b/>
      <w:bCs/>
    </w:rPr>
  </w:style>
  <w:style w:type="character" w:styleId="Emphasis">
    <w:name w:val="Emphasis"/>
    <w:basedOn w:val="DefaultParagraphFont"/>
    <w:uiPriority w:val="20"/>
    <w:qFormat/>
    <w:rsid w:val="005851DC"/>
    <w:rPr>
      <w:i/>
      <w:iCs/>
    </w:rPr>
  </w:style>
  <w:style w:type="paragraph" w:customStyle="1" w:styleId="paragraph">
    <w:name w:val="paragraph"/>
    <w:basedOn w:val="Normal"/>
    <w:rsid w:val="005851DC"/>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851DC"/>
  </w:style>
  <w:style w:type="character" w:customStyle="1" w:styleId="eop">
    <w:name w:val="eop"/>
    <w:basedOn w:val="DefaultParagraphFont"/>
    <w:rsid w:val="00585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46403">
      <w:bodyDiv w:val="1"/>
      <w:marLeft w:val="0"/>
      <w:marRight w:val="0"/>
      <w:marTop w:val="0"/>
      <w:marBottom w:val="0"/>
      <w:divBdr>
        <w:top w:val="none" w:sz="0" w:space="0" w:color="auto"/>
        <w:left w:val="none" w:sz="0" w:space="0" w:color="auto"/>
        <w:bottom w:val="none" w:sz="0" w:space="0" w:color="auto"/>
        <w:right w:val="none" w:sz="0" w:space="0" w:color="auto"/>
      </w:divBdr>
      <w:divsChild>
        <w:div w:id="1044906226">
          <w:marLeft w:val="0"/>
          <w:marRight w:val="0"/>
          <w:marTop w:val="0"/>
          <w:marBottom w:val="0"/>
          <w:divBdr>
            <w:top w:val="none" w:sz="0" w:space="0" w:color="auto"/>
            <w:left w:val="none" w:sz="0" w:space="0" w:color="auto"/>
            <w:bottom w:val="none" w:sz="0" w:space="0" w:color="auto"/>
            <w:right w:val="none" w:sz="0" w:space="0" w:color="auto"/>
          </w:divBdr>
        </w:div>
        <w:div w:id="686372887">
          <w:marLeft w:val="0"/>
          <w:marRight w:val="0"/>
          <w:marTop w:val="0"/>
          <w:marBottom w:val="0"/>
          <w:divBdr>
            <w:top w:val="none" w:sz="0" w:space="0" w:color="auto"/>
            <w:left w:val="none" w:sz="0" w:space="0" w:color="auto"/>
            <w:bottom w:val="none" w:sz="0" w:space="0" w:color="auto"/>
            <w:right w:val="none" w:sz="0" w:space="0" w:color="auto"/>
          </w:divBdr>
        </w:div>
        <w:div w:id="1847598989">
          <w:marLeft w:val="0"/>
          <w:marRight w:val="0"/>
          <w:marTop w:val="0"/>
          <w:marBottom w:val="0"/>
          <w:divBdr>
            <w:top w:val="none" w:sz="0" w:space="0" w:color="auto"/>
            <w:left w:val="none" w:sz="0" w:space="0" w:color="auto"/>
            <w:bottom w:val="none" w:sz="0" w:space="0" w:color="auto"/>
            <w:right w:val="none" w:sz="0" w:space="0" w:color="auto"/>
          </w:divBdr>
        </w:div>
        <w:div w:id="1850489633">
          <w:marLeft w:val="0"/>
          <w:marRight w:val="0"/>
          <w:marTop w:val="0"/>
          <w:marBottom w:val="0"/>
          <w:divBdr>
            <w:top w:val="none" w:sz="0" w:space="0" w:color="auto"/>
            <w:left w:val="none" w:sz="0" w:space="0" w:color="auto"/>
            <w:bottom w:val="none" w:sz="0" w:space="0" w:color="auto"/>
            <w:right w:val="none" w:sz="0" w:space="0" w:color="auto"/>
          </w:divBdr>
        </w:div>
        <w:div w:id="1835216424">
          <w:marLeft w:val="0"/>
          <w:marRight w:val="0"/>
          <w:marTop w:val="0"/>
          <w:marBottom w:val="0"/>
          <w:divBdr>
            <w:top w:val="none" w:sz="0" w:space="0" w:color="auto"/>
            <w:left w:val="none" w:sz="0" w:space="0" w:color="auto"/>
            <w:bottom w:val="none" w:sz="0" w:space="0" w:color="auto"/>
            <w:right w:val="none" w:sz="0" w:space="0" w:color="auto"/>
          </w:divBdr>
        </w:div>
        <w:div w:id="1139036386">
          <w:marLeft w:val="0"/>
          <w:marRight w:val="0"/>
          <w:marTop w:val="0"/>
          <w:marBottom w:val="0"/>
          <w:divBdr>
            <w:top w:val="none" w:sz="0" w:space="0" w:color="auto"/>
            <w:left w:val="none" w:sz="0" w:space="0" w:color="auto"/>
            <w:bottom w:val="none" w:sz="0" w:space="0" w:color="auto"/>
            <w:right w:val="none" w:sz="0" w:space="0" w:color="auto"/>
          </w:divBdr>
        </w:div>
        <w:div w:id="267546364">
          <w:marLeft w:val="0"/>
          <w:marRight w:val="0"/>
          <w:marTop w:val="0"/>
          <w:marBottom w:val="0"/>
          <w:divBdr>
            <w:top w:val="none" w:sz="0" w:space="0" w:color="auto"/>
            <w:left w:val="none" w:sz="0" w:space="0" w:color="auto"/>
            <w:bottom w:val="none" w:sz="0" w:space="0" w:color="auto"/>
            <w:right w:val="none" w:sz="0" w:space="0" w:color="auto"/>
          </w:divBdr>
        </w:div>
        <w:div w:id="1774090012">
          <w:marLeft w:val="0"/>
          <w:marRight w:val="0"/>
          <w:marTop w:val="0"/>
          <w:marBottom w:val="0"/>
          <w:divBdr>
            <w:top w:val="none" w:sz="0" w:space="0" w:color="auto"/>
            <w:left w:val="none" w:sz="0" w:space="0" w:color="auto"/>
            <w:bottom w:val="none" w:sz="0" w:space="0" w:color="auto"/>
            <w:right w:val="none" w:sz="0" w:space="0" w:color="auto"/>
          </w:divBdr>
        </w:div>
        <w:div w:id="465785089">
          <w:marLeft w:val="0"/>
          <w:marRight w:val="0"/>
          <w:marTop w:val="0"/>
          <w:marBottom w:val="0"/>
          <w:divBdr>
            <w:top w:val="none" w:sz="0" w:space="0" w:color="auto"/>
            <w:left w:val="none" w:sz="0" w:space="0" w:color="auto"/>
            <w:bottom w:val="none" w:sz="0" w:space="0" w:color="auto"/>
            <w:right w:val="none" w:sz="0" w:space="0" w:color="auto"/>
          </w:divBdr>
        </w:div>
      </w:divsChild>
    </w:div>
    <w:div w:id="912852439">
      <w:bodyDiv w:val="1"/>
      <w:marLeft w:val="0"/>
      <w:marRight w:val="0"/>
      <w:marTop w:val="0"/>
      <w:marBottom w:val="0"/>
      <w:divBdr>
        <w:top w:val="none" w:sz="0" w:space="0" w:color="auto"/>
        <w:left w:val="none" w:sz="0" w:space="0" w:color="auto"/>
        <w:bottom w:val="none" w:sz="0" w:space="0" w:color="auto"/>
        <w:right w:val="none" w:sz="0" w:space="0" w:color="auto"/>
      </w:divBdr>
    </w:div>
    <w:div w:id="987981113">
      <w:bodyDiv w:val="1"/>
      <w:marLeft w:val="0"/>
      <w:marRight w:val="0"/>
      <w:marTop w:val="0"/>
      <w:marBottom w:val="0"/>
      <w:divBdr>
        <w:top w:val="none" w:sz="0" w:space="0" w:color="auto"/>
        <w:left w:val="none" w:sz="0" w:space="0" w:color="auto"/>
        <w:bottom w:val="none" w:sz="0" w:space="0" w:color="auto"/>
        <w:right w:val="none" w:sz="0" w:space="0" w:color="auto"/>
      </w:divBdr>
      <w:divsChild>
        <w:div w:id="1667635096">
          <w:marLeft w:val="0"/>
          <w:marRight w:val="0"/>
          <w:marTop w:val="0"/>
          <w:marBottom w:val="0"/>
          <w:divBdr>
            <w:top w:val="none" w:sz="0" w:space="0" w:color="auto"/>
            <w:left w:val="none" w:sz="0" w:space="0" w:color="auto"/>
            <w:bottom w:val="none" w:sz="0" w:space="0" w:color="auto"/>
            <w:right w:val="none" w:sz="0" w:space="0" w:color="auto"/>
          </w:divBdr>
          <w:divsChild>
            <w:div w:id="708919617">
              <w:marLeft w:val="0"/>
              <w:marRight w:val="0"/>
              <w:marTop w:val="0"/>
              <w:marBottom w:val="0"/>
              <w:divBdr>
                <w:top w:val="none" w:sz="0" w:space="0" w:color="auto"/>
                <w:left w:val="none" w:sz="0" w:space="0" w:color="auto"/>
                <w:bottom w:val="none" w:sz="0" w:space="0" w:color="auto"/>
                <w:right w:val="none" w:sz="0" w:space="0" w:color="auto"/>
              </w:divBdr>
            </w:div>
          </w:divsChild>
        </w:div>
        <w:div w:id="393235206">
          <w:marLeft w:val="0"/>
          <w:marRight w:val="0"/>
          <w:marTop w:val="0"/>
          <w:marBottom w:val="0"/>
          <w:divBdr>
            <w:top w:val="none" w:sz="0" w:space="0" w:color="auto"/>
            <w:left w:val="none" w:sz="0" w:space="0" w:color="auto"/>
            <w:bottom w:val="none" w:sz="0" w:space="0" w:color="auto"/>
            <w:right w:val="none" w:sz="0" w:space="0" w:color="auto"/>
          </w:divBdr>
          <w:divsChild>
            <w:div w:id="1529879474">
              <w:marLeft w:val="0"/>
              <w:marRight w:val="0"/>
              <w:marTop w:val="0"/>
              <w:marBottom w:val="0"/>
              <w:divBdr>
                <w:top w:val="none" w:sz="0" w:space="0" w:color="auto"/>
                <w:left w:val="none" w:sz="0" w:space="0" w:color="auto"/>
                <w:bottom w:val="none" w:sz="0" w:space="0" w:color="auto"/>
                <w:right w:val="none" w:sz="0" w:space="0" w:color="auto"/>
              </w:divBdr>
              <w:divsChild>
                <w:div w:id="1736273191">
                  <w:marLeft w:val="0"/>
                  <w:marRight w:val="0"/>
                  <w:marTop w:val="0"/>
                  <w:marBottom w:val="0"/>
                  <w:divBdr>
                    <w:top w:val="none" w:sz="0" w:space="0" w:color="auto"/>
                    <w:left w:val="none" w:sz="0" w:space="0" w:color="auto"/>
                    <w:bottom w:val="none" w:sz="0" w:space="0" w:color="auto"/>
                    <w:right w:val="none" w:sz="0" w:space="0" w:color="auto"/>
                  </w:divBdr>
                  <w:divsChild>
                    <w:div w:id="719397950">
                      <w:marLeft w:val="0"/>
                      <w:marRight w:val="0"/>
                      <w:marTop w:val="0"/>
                      <w:marBottom w:val="0"/>
                      <w:divBdr>
                        <w:top w:val="none" w:sz="0" w:space="0" w:color="auto"/>
                        <w:left w:val="none" w:sz="0" w:space="0" w:color="auto"/>
                        <w:bottom w:val="none" w:sz="0" w:space="0" w:color="auto"/>
                        <w:right w:val="none" w:sz="0" w:space="0" w:color="auto"/>
                      </w:divBdr>
                    </w:div>
                  </w:divsChild>
                </w:div>
                <w:div w:id="1160273262">
                  <w:marLeft w:val="0"/>
                  <w:marRight w:val="0"/>
                  <w:marTop w:val="0"/>
                  <w:marBottom w:val="0"/>
                  <w:divBdr>
                    <w:top w:val="none" w:sz="0" w:space="0" w:color="auto"/>
                    <w:left w:val="none" w:sz="0" w:space="0" w:color="auto"/>
                    <w:bottom w:val="none" w:sz="0" w:space="0" w:color="auto"/>
                    <w:right w:val="none" w:sz="0" w:space="0" w:color="auto"/>
                  </w:divBdr>
                  <w:divsChild>
                    <w:div w:id="958799494">
                      <w:marLeft w:val="0"/>
                      <w:marRight w:val="0"/>
                      <w:marTop w:val="0"/>
                      <w:marBottom w:val="0"/>
                      <w:divBdr>
                        <w:top w:val="none" w:sz="0" w:space="0" w:color="auto"/>
                        <w:left w:val="none" w:sz="0" w:space="0" w:color="auto"/>
                        <w:bottom w:val="none" w:sz="0" w:space="0" w:color="auto"/>
                        <w:right w:val="none" w:sz="0" w:space="0" w:color="auto"/>
                      </w:divBdr>
                      <w:divsChild>
                        <w:div w:id="1540164430">
                          <w:marLeft w:val="0"/>
                          <w:marRight w:val="0"/>
                          <w:marTop w:val="0"/>
                          <w:marBottom w:val="0"/>
                          <w:divBdr>
                            <w:top w:val="none" w:sz="0" w:space="0" w:color="auto"/>
                            <w:left w:val="none" w:sz="0" w:space="0" w:color="auto"/>
                            <w:bottom w:val="none" w:sz="0" w:space="0" w:color="auto"/>
                            <w:right w:val="none" w:sz="0" w:space="0" w:color="auto"/>
                          </w:divBdr>
                          <w:divsChild>
                            <w:div w:id="44979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5127">
              <w:marLeft w:val="0"/>
              <w:marRight w:val="0"/>
              <w:marTop w:val="0"/>
              <w:marBottom w:val="0"/>
              <w:divBdr>
                <w:top w:val="none" w:sz="0" w:space="0" w:color="auto"/>
                <w:left w:val="none" w:sz="0" w:space="0" w:color="auto"/>
                <w:bottom w:val="none" w:sz="0" w:space="0" w:color="auto"/>
                <w:right w:val="none" w:sz="0" w:space="0" w:color="auto"/>
              </w:divBdr>
            </w:div>
            <w:div w:id="1953979230">
              <w:marLeft w:val="0"/>
              <w:marRight w:val="0"/>
              <w:marTop w:val="0"/>
              <w:marBottom w:val="0"/>
              <w:divBdr>
                <w:top w:val="none" w:sz="0" w:space="0" w:color="auto"/>
                <w:left w:val="none" w:sz="0" w:space="0" w:color="auto"/>
                <w:bottom w:val="none" w:sz="0" w:space="0" w:color="auto"/>
                <w:right w:val="none" w:sz="0" w:space="0" w:color="auto"/>
              </w:divBdr>
            </w:div>
            <w:div w:id="1413550910">
              <w:marLeft w:val="0"/>
              <w:marRight w:val="0"/>
              <w:marTop w:val="0"/>
              <w:marBottom w:val="0"/>
              <w:divBdr>
                <w:top w:val="none" w:sz="0" w:space="0" w:color="auto"/>
                <w:left w:val="none" w:sz="0" w:space="0" w:color="auto"/>
                <w:bottom w:val="none" w:sz="0" w:space="0" w:color="auto"/>
                <w:right w:val="none" w:sz="0" w:space="0" w:color="auto"/>
              </w:divBdr>
            </w:div>
            <w:div w:id="896864637">
              <w:marLeft w:val="0"/>
              <w:marRight w:val="0"/>
              <w:marTop w:val="0"/>
              <w:marBottom w:val="0"/>
              <w:divBdr>
                <w:top w:val="none" w:sz="0" w:space="0" w:color="auto"/>
                <w:left w:val="none" w:sz="0" w:space="0" w:color="auto"/>
                <w:bottom w:val="none" w:sz="0" w:space="0" w:color="auto"/>
                <w:right w:val="none" w:sz="0" w:space="0" w:color="auto"/>
              </w:divBdr>
            </w:div>
            <w:div w:id="1743141664">
              <w:marLeft w:val="0"/>
              <w:marRight w:val="0"/>
              <w:marTop w:val="0"/>
              <w:marBottom w:val="0"/>
              <w:divBdr>
                <w:top w:val="none" w:sz="0" w:space="0" w:color="auto"/>
                <w:left w:val="none" w:sz="0" w:space="0" w:color="auto"/>
                <w:bottom w:val="none" w:sz="0" w:space="0" w:color="auto"/>
                <w:right w:val="none" w:sz="0" w:space="0" w:color="auto"/>
              </w:divBdr>
            </w:div>
            <w:div w:id="1094983833">
              <w:marLeft w:val="0"/>
              <w:marRight w:val="0"/>
              <w:marTop w:val="0"/>
              <w:marBottom w:val="0"/>
              <w:divBdr>
                <w:top w:val="none" w:sz="0" w:space="0" w:color="auto"/>
                <w:left w:val="none" w:sz="0" w:space="0" w:color="auto"/>
                <w:bottom w:val="none" w:sz="0" w:space="0" w:color="auto"/>
                <w:right w:val="none" w:sz="0" w:space="0" w:color="auto"/>
              </w:divBdr>
            </w:div>
            <w:div w:id="794908697">
              <w:marLeft w:val="0"/>
              <w:marRight w:val="0"/>
              <w:marTop w:val="0"/>
              <w:marBottom w:val="0"/>
              <w:divBdr>
                <w:top w:val="none" w:sz="0" w:space="0" w:color="auto"/>
                <w:left w:val="none" w:sz="0" w:space="0" w:color="auto"/>
                <w:bottom w:val="none" w:sz="0" w:space="0" w:color="auto"/>
                <w:right w:val="none" w:sz="0" w:space="0" w:color="auto"/>
              </w:divBdr>
            </w:div>
            <w:div w:id="1276793144">
              <w:marLeft w:val="0"/>
              <w:marRight w:val="0"/>
              <w:marTop w:val="0"/>
              <w:marBottom w:val="0"/>
              <w:divBdr>
                <w:top w:val="none" w:sz="0" w:space="0" w:color="auto"/>
                <w:left w:val="none" w:sz="0" w:space="0" w:color="auto"/>
                <w:bottom w:val="none" w:sz="0" w:space="0" w:color="auto"/>
                <w:right w:val="none" w:sz="0" w:space="0" w:color="auto"/>
              </w:divBdr>
            </w:div>
            <w:div w:id="2093693138">
              <w:marLeft w:val="0"/>
              <w:marRight w:val="0"/>
              <w:marTop w:val="0"/>
              <w:marBottom w:val="0"/>
              <w:divBdr>
                <w:top w:val="none" w:sz="0" w:space="0" w:color="auto"/>
                <w:left w:val="none" w:sz="0" w:space="0" w:color="auto"/>
                <w:bottom w:val="none" w:sz="0" w:space="0" w:color="auto"/>
                <w:right w:val="none" w:sz="0" w:space="0" w:color="auto"/>
              </w:divBdr>
            </w:div>
            <w:div w:id="1912690077">
              <w:marLeft w:val="0"/>
              <w:marRight w:val="0"/>
              <w:marTop w:val="0"/>
              <w:marBottom w:val="0"/>
              <w:divBdr>
                <w:top w:val="none" w:sz="0" w:space="0" w:color="auto"/>
                <w:left w:val="none" w:sz="0" w:space="0" w:color="auto"/>
                <w:bottom w:val="none" w:sz="0" w:space="0" w:color="auto"/>
                <w:right w:val="none" w:sz="0" w:space="0" w:color="auto"/>
              </w:divBdr>
            </w:div>
            <w:div w:id="480539647">
              <w:marLeft w:val="0"/>
              <w:marRight w:val="0"/>
              <w:marTop w:val="0"/>
              <w:marBottom w:val="0"/>
              <w:divBdr>
                <w:top w:val="none" w:sz="0" w:space="0" w:color="auto"/>
                <w:left w:val="none" w:sz="0" w:space="0" w:color="auto"/>
                <w:bottom w:val="none" w:sz="0" w:space="0" w:color="auto"/>
                <w:right w:val="none" w:sz="0" w:space="0" w:color="auto"/>
              </w:divBdr>
            </w:div>
            <w:div w:id="420759191">
              <w:marLeft w:val="0"/>
              <w:marRight w:val="0"/>
              <w:marTop w:val="0"/>
              <w:marBottom w:val="0"/>
              <w:divBdr>
                <w:top w:val="none" w:sz="0" w:space="0" w:color="auto"/>
                <w:left w:val="none" w:sz="0" w:space="0" w:color="auto"/>
                <w:bottom w:val="none" w:sz="0" w:space="0" w:color="auto"/>
                <w:right w:val="none" w:sz="0" w:space="0" w:color="auto"/>
              </w:divBdr>
            </w:div>
            <w:div w:id="520630888">
              <w:marLeft w:val="0"/>
              <w:marRight w:val="0"/>
              <w:marTop w:val="0"/>
              <w:marBottom w:val="0"/>
              <w:divBdr>
                <w:top w:val="none" w:sz="0" w:space="0" w:color="auto"/>
                <w:left w:val="none" w:sz="0" w:space="0" w:color="auto"/>
                <w:bottom w:val="none" w:sz="0" w:space="0" w:color="auto"/>
                <w:right w:val="none" w:sz="0" w:space="0" w:color="auto"/>
              </w:divBdr>
            </w:div>
            <w:div w:id="1622884418">
              <w:marLeft w:val="0"/>
              <w:marRight w:val="0"/>
              <w:marTop w:val="0"/>
              <w:marBottom w:val="0"/>
              <w:divBdr>
                <w:top w:val="none" w:sz="0" w:space="0" w:color="auto"/>
                <w:left w:val="none" w:sz="0" w:space="0" w:color="auto"/>
                <w:bottom w:val="none" w:sz="0" w:space="0" w:color="auto"/>
                <w:right w:val="none" w:sz="0" w:space="0" w:color="auto"/>
              </w:divBdr>
            </w:div>
            <w:div w:id="1146320618">
              <w:marLeft w:val="0"/>
              <w:marRight w:val="0"/>
              <w:marTop w:val="0"/>
              <w:marBottom w:val="0"/>
              <w:divBdr>
                <w:top w:val="none" w:sz="0" w:space="0" w:color="auto"/>
                <w:left w:val="none" w:sz="0" w:space="0" w:color="auto"/>
                <w:bottom w:val="none" w:sz="0" w:space="0" w:color="auto"/>
                <w:right w:val="none" w:sz="0" w:space="0" w:color="auto"/>
              </w:divBdr>
            </w:div>
            <w:div w:id="189151872">
              <w:marLeft w:val="0"/>
              <w:marRight w:val="0"/>
              <w:marTop w:val="0"/>
              <w:marBottom w:val="0"/>
              <w:divBdr>
                <w:top w:val="none" w:sz="0" w:space="0" w:color="auto"/>
                <w:left w:val="none" w:sz="0" w:space="0" w:color="auto"/>
                <w:bottom w:val="none" w:sz="0" w:space="0" w:color="auto"/>
                <w:right w:val="none" w:sz="0" w:space="0" w:color="auto"/>
              </w:divBdr>
            </w:div>
            <w:div w:id="1779372715">
              <w:marLeft w:val="0"/>
              <w:marRight w:val="0"/>
              <w:marTop w:val="0"/>
              <w:marBottom w:val="0"/>
              <w:divBdr>
                <w:top w:val="none" w:sz="0" w:space="0" w:color="auto"/>
                <w:left w:val="none" w:sz="0" w:space="0" w:color="auto"/>
                <w:bottom w:val="none" w:sz="0" w:space="0" w:color="auto"/>
                <w:right w:val="none" w:sz="0" w:space="0" w:color="auto"/>
              </w:divBdr>
            </w:div>
            <w:div w:id="809249904">
              <w:marLeft w:val="0"/>
              <w:marRight w:val="0"/>
              <w:marTop w:val="0"/>
              <w:marBottom w:val="0"/>
              <w:divBdr>
                <w:top w:val="none" w:sz="0" w:space="0" w:color="auto"/>
                <w:left w:val="none" w:sz="0" w:space="0" w:color="auto"/>
                <w:bottom w:val="none" w:sz="0" w:space="0" w:color="auto"/>
                <w:right w:val="none" w:sz="0" w:space="0" w:color="auto"/>
              </w:divBdr>
            </w:div>
            <w:div w:id="1277368040">
              <w:marLeft w:val="0"/>
              <w:marRight w:val="0"/>
              <w:marTop w:val="0"/>
              <w:marBottom w:val="0"/>
              <w:divBdr>
                <w:top w:val="none" w:sz="0" w:space="0" w:color="auto"/>
                <w:left w:val="none" w:sz="0" w:space="0" w:color="auto"/>
                <w:bottom w:val="none" w:sz="0" w:space="0" w:color="auto"/>
                <w:right w:val="none" w:sz="0" w:space="0" w:color="auto"/>
              </w:divBdr>
            </w:div>
            <w:div w:id="1651589723">
              <w:marLeft w:val="0"/>
              <w:marRight w:val="0"/>
              <w:marTop w:val="0"/>
              <w:marBottom w:val="0"/>
              <w:divBdr>
                <w:top w:val="none" w:sz="0" w:space="0" w:color="auto"/>
                <w:left w:val="none" w:sz="0" w:space="0" w:color="auto"/>
                <w:bottom w:val="none" w:sz="0" w:space="0" w:color="auto"/>
                <w:right w:val="none" w:sz="0" w:space="0" w:color="auto"/>
              </w:divBdr>
            </w:div>
            <w:div w:id="957300461">
              <w:marLeft w:val="0"/>
              <w:marRight w:val="0"/>
              <w:marTop w:val="0"/>
              <w:marBottom w:val="0"/>
              <w:divBdr>
                <w:top w:val="none" w:sz="0" w:space="0" w:color="auto"/>
                <w:left w:val="none" w:sz="0" w:space="0" w:color="auto"/>
                <w:bottom w:val="none" w:sz="0" w:space="0" w:color="auto"/>
                <w:right w:val="none" w:sz="0" w:space="0" w:color="auto"/>
              </w:divBdr>
            </w:div>
            <w:div w:id="743726278">
              <w:marLeft w:val="0"/>
              <w:marRight w:val="0"/>
              <w:marTop w:val="0"/>
              <w:marBottom w:val="0"/>
              <w:divBdr>
                <w:top w:val="none" w:sz="0" w:space="0" w:color="auto"/>
                <w:left w:val="none" w:sz="0" w:space="0" w:color="auto"/>
                <w:bottom w:val="none" w:sz="0" w:space="0" w:color="auto"/>
                <w:right w:val="none" w:sz="0" w:space="0" w:color="auto"/>
              </w:divBdr>
            </w:div>
            <w:div w:id="845365464">
              <w:marLeft w:val="0"/>
              <w:marRight w:val="0"/>
              <w:marTop w:val="0"/>
              <w:marBottom w:val="0"/>
              <w:divBdr>
                <w:top w:val="none" w:sz="0" w:space="0" w:color="auto"/>
                <w:left w:val="none" w:sz="0" w:space="0" w:color="auto"/>
                <w:bottom w:val="none" w:sz="0" w:space="0" w:color="auto"/>
                <w:right w:val="none" w:sz="0" w:space="0" w:color="auto"/>
              </w:divBdr>
            </w:div>
            <w:div w:id="210844501">
              <w:marLeft w:val="0"/>
              <w:marRight w:val="0"/>
              <w:marTop w:val="0"/>
              <w:marBottom w:val="0"/>
              <w:divBdr>
                <w:top w:val="none" w:sz="0" w:space="0" w:color="auto"/>
                <w:left w:val="none" w:sz="0" w:space="0" w:color="auto"/>
                <w:bottom w:val="none" w:sz="0" w:space="0" w:color="auto"/>
                <w:right w:val="none" w:sz="0" w:space="0" w:color="auto"/>
              </w:divBdr>
            </w:div>
            <w:div w:id="1290626594">
              <w:marLeft w:val="0"/>
              <w:marRight w:val="0"/>
              <w:marTop w:val="0"/>
              <w:marBottom w:val="0"/>
              <w:divBdr>
                <w:top w:val="none" w:sz="0" w:space="0" w:color="auto"/>
                <w:left w:val="none" w:sz="0" w:space="0" w:color="auto"/>
                <w:bottom w:val="none" w:sz="0" w:space="0" w:color="auto"/>
                <w:right w:val="none" w:sz="0" w:space="0" w:color="auto"/>
              </w:divBdr>
            </w:div>
            <w:div w:id="1033649881">
              <w:marLeft w:val="0"/>
              <w:marRight w:val="0"/>
              <w:marTop w:val="0"/>
              <w:marBottom w:val="0"/>
              <w:divBdr>
                <w:top w:val="none" w:sz="0" w:space="0" w:color="auto"/>
                <w:left w:val="none" w:sz="0" w:space="0" w:color="auto"/>
                <w:bottom w:val="none" w:sz="0" w:space="0" w:color="auto"/>
                <w:right w:val="none" w:sz="0" w:space="0" w:color="auto"/>
              </w:divBdr>
            </w:div>
            <w:div w:id="477192080">
              <w:marLeft w:val="0"/>
              <w:marRight w:val="0"/>
              <w:marTop w:val="0"/>
              <w:marBottom w:val="0"/>
              <w:divBdr>
                <w:top w:val="none" w:sz="0" w:space="0" w:color="auto"/>
                <w:left w:val="none" w:sz="0" w:space="0" w:color="auto"/>
                <w:bottom w:val="none" w:sz="0" w:space="0" w:color="auto"/>
                <w:right w:val="none" w:sz="0" w:space="0" w:color="auto"/>
              </w:divBdr>
            </w:div>
            <w:div w:id="1233081006">
              <w:marLeft w:val="0"/>
              <w:marRight w:val="0"/>
              <w:marTop w:val="0"/>
              <w:marBottom w:val="0"/>
              <w:divBdr>
                <w:top w:val="none" w:sz="0" w:space="0" w:color="auto"/>
                <w:left w:val="none" w:sz="0" w:space="0" w:color="auto"/>
                <w:bottom w:val="none" w:sz="0" w:space="0" w:color="auto"/>
                <w:right w:val="none" w:sz="0" w:space="0" w:color="auto"/>
              </w:divBdr>
            </w:div>
            <w:div w:id="19361863">
              <w:marLeft w:val="0"/>
              <w:marRight w:val="0"/>
              <w:marTop w:val="0"/>
              <w:marBottom w:val="0"/>
              <w:divBdr>
                <w:top w:val="none" w:sz="0" w:space="0" w:color="auto"/>
                <w:left w:val="none" w:sz="0" w:space="0" w:color="auto"/>
                <w:bottom w:val="none" w:sz="0" w:space="0" w:color="auto"/>
                <w:right w:val="none" w:sz="0" w:space="0" w:color="auto"/>
              </w:divBdr>
            </w:div>
            <w:div w:id="2136439930">
              <w:marLeft w:val="0"/>
              <w:marRight w:val="0"/>
              <w:marTop w:val="0"/>
              <w:marBottom w:val="0"/>
              <w:divBdr>
                <w:top w:val="none" w:sz="0" w:space="0" w:color="auto"/>
                <w:left w:val="none" w:sz="0" w:space="0" w:color="auto"/>
                <w:bottom w:val="none" w:sz="0" w:space="0" w:color="auto"/>
                <w:right w:val="none" w:sz="0" w:space="0" w:color="auto"/>
              </w:divBdr>
            </w:div>
            <w:div w:id="221869622">
              <w:marLeft w:val="0"/>
              <w:marRight w:val="0"/>
              <w:marTop w:val="0"/>
              <w:marBottom w:val="0"/>
              <w:divBdr>
                <w:top w:val="none" w:sz="0" w:space="0" w:color="auto"/>
                <w:left w:val="none" w:sz="0" w:space="0" w:color="auto"/>
                <w:bottom w:val="none" w:sz="0" w:space="0" w:color="auto"/>
                <w:right w:val="none" w:sz="0" w:space="0" w:color="auto"/>
              </w:divBdr>
            </w:div>
            <w:div w:id="441651814">
              <w:marLeft w:val="0"/>
              <w:marRight w:val="0"/>
              <w:marTop w:val="0"/>
              <w:marBottom w:val="0"/>
              <w:divBdr>
                <w:top w:val="none" w:sz="0" w:space="0" w:color="auto"/>
                <w:left w:val="none" w:sz="0" w:space="0" w:color="auto"/>
                <w:bottom w:val="none" w:sz="0" w:space="0" w:color="auto"/>
                <w:right w:val="none" w:sz="0" w:space="0" w:color="auto"/>
              </w:divBdr>
            </w:div>
            <w:div w:id="1766000385">
              <w:marLeft w:val="0"/>
              <w:marRight w:val="0"/>
              <w:marTop w:val="0"/>
              <w:marBottom w:val="0"/>
              <w:divBdr>
                <w:top w:val="none" w:sz="0" w:space="0" w:color="auto"/>
                <w:left w:val="none" w:sz="0" w:space="0" w:color="auto"/>
                <w:bottom w:val="none" w:sz="0" w:space="0" w:color="auto"/>
                <w:right w:val="none" w:sz="0" w:space="0" w:color="auto"/>
              </w:divBdr>
            </w:div>
            <w:div w:id="1117941855">
              <w:marLeft w:val="0"/>
              <w:marRight w:val="0"/>
              <w:marTop w:val="0"/>
              <w:marBottom w:val="0"/>
              <w:divBdr>
                <w:top w:val="none" w:sz="0" w:space="0" w:color="auto"/>
                <w:left w:val="none" w:sz="0" w:space="0" w:color="auto"/>
                <w:bottom w:val="none" w:sz="0" w:space="0" w:color="auto"/>
                <w:right w:val="none" w:sz="0" w:space="0" w:color="auto"/>
              </w:divBdr>
            </w:div>
            <w:div w:id="100616144">
              <w:marLeft w:val="0"/>
              <w:marRight w:val="0"/>
              <w:marTop w:val="0"/>
              <w:marBottom w:val="0"/>
              <w:divBdr>
                <w:top w:val="none" w:sz="0" w:space="0" w:color="auto"/>
                <w:left w:val="none" w:sz="0" w:space="0" w:color="auto"/>
                <w:bottom w:val="none" w:sz="0" w:space="0" w:color="auto"/>
                <w:right w:val="none" w:sz="0" w:space="0" w:color="auto"/>
              </w:divBdr>
            </w:div>
            <w:div w:id="419253538">
              <w:marLeft w:val="0"/>
              <w:marRight w:val="0"/>
              <w:marTop w:val="0"/>
              <w:marBottom w:val="0"/>
              <w:divBdr>
                <w:top w:val="none" w:sz="0" w:space="0" w:color="auto"/>
                <w:left w:val="none" w:sz="0" w:space="0" w:color="auto"/>
                <w:bottom w:val="none" w:sz="0" w:space="0" w:color="auto"/>
                <w:right w:val="none" w:sz="0" w:space="0" w:color="auto"/>
              </w:divBdr>
            </w:div>
            <w:div w:id="71612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8A218-AE6C-490A-9AAD-3E232DA0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2021-08-25T14:51:00Z</dcterms:created>
  <dcterms:modified xsi:type="dcterms:W3CDTF">2021-08-25T17:18:00Z</dcterms:modified>
</cp:coreProperties>
</file>